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F94CE">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default" w:ascii="Times New Roman" w:hAnsi="Times New Roman" w:eastAsia="方正小标宋简体" w:cs="Times New Roman"/>
          <w:color w:val="000000" w:themeColor="text1"/>
          <w:sz w:val="52"/>
          <w:szCs w:val="52"/>
          <w:highlight w:val="none"/>
          <w14:textFill>
            <w14:solidFill>
              <w14:schemeClr w14:val="tx1"/>
            </w14:solidFill>
          </w14:textFill>
        </w:rPr>
      </w:pPr>
      <w:bookmarkStart w:id="0" w:name="_Toc17321"/>
      <w:bookmarkStart w:id="1" w:name="_Toc21893"/>
      <w:bookmarkStart w:id="2" w:name="_Toc9216"/>
      <w:bookmarkStart w:id="3" w:name="_Toc20702"/>
      <w:bookmarkStart w:id="4" w:name="_Toc27344"/>
      <w:bookmarkStart w:id="81" w:name="_GoBack"/>
      <w:r>
        <w:rPr>
          <w:rFonts w:hint="default" w:ascii="Times New Roman" w:hAnsi="Times New Roman" w:eastAsia="方正小标宋简体" w:cs="Times New Roman"/>
          <w:color w:val="000000" w:themeColor="text1"/>
          <w:sz w:val="52"/>
          <w:szCs w:val="52"/>
          <w:highlight w:val="none"/>
          <w14:textFill>
            <w14:solidFill>
              <w14:schemeClr w14:val="tx1"/>
            </w14:solidFill>
          </w14:textFill>
        </w:rPr>
        <w:t>佳木斯市</w:t>
      </w:r>
      <w:r>
        <w:rPr>
          <w:rFonts w:hint="eastAsia" w:eastAsia="方正小标宋简体" w:cs="Times New Roman"/>
          <w:color w:val="000000" w:themeColor="text1"/>
          <w:sz w:val="52"/>
          <w:szCs w:val="52"/>
          <w:highlight w:val="none"/>
          <w:lang w:val="en-US" w:eastAsia="zh-CN"/>
          <w14:textFill>
            <w14:solidFill>
              <w14:schemeClr w14:val="tx1"/>
            </w14:solidFill>
          </w14:textFill>
        </w:rPr>
        <w:t>东风区</w:t>
      </w:r>
      <w:r>
        <w:rPr>
          <w:rFonts w:hint="default" w:ascii="Times New Roman" w:hAnsi="Times New Roman" w:eastAsia="方正小标宋简体" w:cs="Times New Roman"/>
          <w:color w:val="000000" w:themeColor="text1"/>
          <w:sz w:val="52"/>
          <w:szCs w:val="52"/>
          <w:highlight w:val="none"/>
          <w14:textFill>
            <w14:solidFill>
              <w14:schemeClr w14:val="tx1"/>
            </w14:solidFill>
          </w14:textFill>
        </w:rPr>
        <w:t>国民经济和社会发展</w:t>
      </w:r>
    </w:p>
    <w:p w14:paraId="26C966F9">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eastAsia" w:ascii="Times New Roman" w:hAnsi="Times New Roman" w:eastAsia="方正小标宋简体" w:cs="Times New Roman"/>
          <w:color w:val="000000" w:themeColor="text1"/>
          <w:sz w:val="52"/>
          <w:szCs w:val="52"/>
          <w:highlight w:val="none"/>
          <w:lang w:eastAsia="zh-CN"/>
          <w14:textFill>
            <w14:solidFill>
              <w14:schemeClr w14:val="tx1"/>
            </w14:solidFill>
          </w14:textFill>
        </w:rPr>
      </w:pPr>
      <w:r>
        <w:rPr>
          <w:rFonts w:hint="default" w:ascii="Times New Roman" w:hAnsi="Times New Roman" w:eastAsia="方正小标宋简体" w:cs="Times New Roman"/>
          <w:color w:val="000000" w:themeColor="text1"/>
          <w:sz w:val="52"/>
          <w:szCs w:val="52"/>
          <w:highlight w:val="none"/>
          <w14:textFill>
            <w14:solidFill>
              <w14:schemeClr w14:val="tx1"/>
            </w14:solidFill>
          </w14:textFill>
        </w:rPr>
        <w:t>第十五个五年规划纲要</w:t>
      </w:r>
    </w:p>
    <w:bookmarkEnd w:id="81"/>
    <w:p w14:paraId="44A3611E">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071DE5BA">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1210FF3E">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6B512B3E">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4FCB9F70">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33698194">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206FEFEF">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67E8E451">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4724123D">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71F62D4F">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35C68990">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6349D035">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52C1AEA9">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25C730A4">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36D5953F">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2A6042F3">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default" w:ascii="Times New Roman" w:hAnsi="Times New Roman" w:eastAsia="方正小标宋简体" w:cs="Times New Roman"/>
          <w:color w:val="000000" w:themeColor="text1"/>
          <w:highlight w:val="none"/>
          <w14:textFill>
            <w14:solidFill>
              <w14:schemeClr w14:val="tx1"/>
            </w14:solidFill>
          </w14:textFill>
        </w:rPr>
      </w:pPr>
      <w:r>
        <w:rPr>
          <w:rFonts w:hint="default" w:ascii="Times New Roman" w:hAnsi="Times New Roman" w:eastAsia="方正小标宋简体" w:cs="Times New Roman"/>
          <w:color w:val="000000" w:themeColor="text1"/>
          <w:highlight w:val="none"/>
          <w14:textFill>
            <w14:solidFill>
              <w14:schemeClr w14:val="tx1"/>
            </w14:solidFill>
          </w14:textFill>
        </w:rPr>
        <w:t>202</w:t>
      </w:r>
      <w:r>
        <w:rPr>
          <w:rFonts w:hint="eastAsia" w:eastAsia="方正小标宋简体" w:cs="Times New Roman"/>
          <w:color w:val="000000" w:themeColor="text1"/>
          <w:highlight w:val="none"/>
          <w:lang w:val="en-US" w:eastAsia="zh-CN"/>
          <w14:textFill>
            <w14:solidFill>
              <w14:schemeClr w14:val="tx1"/>
            </w14:solidFill>
          </w14:textFill>
        </w:rPr>
        <w:t>6</w:t>
      </w:r>
      <w:r>
        <w:rPr>
          <w:rFonts w:hint="default" w:ascii="Times New Roman" w:hAnsi="Times New Roman" w:eastAsia="方正小标宋简体" w:cs="Times New Roman"/>
          <w:color w:val="000000" w:themeColor="text1"/>
          <w:highlight w:val="none"/>
          <w14:textFill>
            <w14:solidFill>
              <w14:schemeClr w14:val="tx1"/>
            </w14:solidFill>
          </w14:textFill>
        </w:rPr>
        <w:t>年1月</w:t>
      </w:r>
    </w:p>
    <w:p w14:paraId="43154A7D">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p w14:paraId="304E064E">
      <w:pPr>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方正小标宋简体" w:cs="Times New Roman"/>
          <w:color w:val="000000" w:themeColor="text1"/>
          <w:highlight w:val="none"/>
          <w14:textFill>
            <w14:solidFill>
              <w14:schemeClr w14:val="tx1"/>
            </w14:solidFill>
          </w14:textFill>
        </w:rPr>
      </w:pPr>
    </w:p>
    <w:bookmarkEnd w:id="0"/>
    <w:bookmarkEnd w:id="1"/>
    <w:bookmarkEnd w:id="2"/>
    <w:bookmarkEnd w:id="3"/>
    <w:bookmarkEnd w:id="4"/>
    <w:sdt>
      <w:sdtPr>
        <w:rPr>
          <w:rFonts w:hint="default" w:ascii="Times New Roman" w:hAnsi="Times New Roman" w:eastAsia="黑体" w:cs="Times New Roman"/>
          <w:color w:val="000000" w:themeColor="text1"/>
          <w:sz w:val="44"/>
          <w:szCs w:val="44"/>
          <w:highlight w:val="none"/>
          <w14:textFill>
            <w14:solidFill>
              <w14:schemeClr w14:val="tx1"/>
            </w14:solidFill>
          </w14:textFill>
        </w:rPr>
        <w:id w:val="147468274"/>
        <w15:color w:val="DBDBDB"/>
        <w:docPartObj>
          <w:docPartGallery w:val="Table of Contents"/>
          <w:docPartUnique/>
        </w:docPartObj>
      </w:sdtPr>
      <w:sdtEndPr>
        <w:rPr>
          <w:rFonts w:hint="default" w:ascii="Times New Roman" w:hAnsi="Times New Roman" w:eastAsia="仿宋_GB2312" w:cs="Times New Roman"/>
          <w:color w:val="000000" w:themeColor="text1"/>
          <w:sz w:val="28"/>
          <w:szCs w:val="32"/>
          <w:highlight w:val="none"/>
          <w14:textFill>
            <w14:solidFill>
              <w14:schemeClr w14:val="tx1"/>
            </w14:solidFill>
          </w14:textFill>
        </w:rPr>
      </w:sdtEndPr>
      <w:sdtContent>
        <w:p w14:paraId="5BB71AA2">
          <w:pPr>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default" w:ascii="Times New Roman" w:hAnsi="Times New Roman" w:eastAsia="黑体" w:cs="Times New Roman"/>
              <w:color w:val="000000" w:themeColor="text1"/>
              <w:sz w:val="44"/>
              <w:szCs w:val="44"/>
              <w:highlight w:val="none"/>
              <w14:textFill>
                <w14:solidFill>
                  <w14:schemeClr w14:val="tx1"/>
                </w14:solidFill>
              </w14:textFill>
            </w:rPr>
          </w:pPr>
        </w:p>
        <w:p w14:paraId="6BA649BA">
          <w:pPr>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eastAsia="黑体" w:cs="Times New Roman"/>
              <w:color w:val="000000" w:themeColor="text1"/>
              <w:sz w:val="44"/>
              <w:szCs w:val="44"/>
              <w:highlight w:val="none"/>
              <w14:textFill>
                <w14:solidFill>
                  <w14:schemeClr w14:val="tx1"/>
                </w14:solidFill>
              </w14:textFill>
            </w:rPr>
            <w:t>目</w:t>
          </w:r>
          <w:r>
            <w:rPr>
              <w:rFonts w:hint="eastAsia" w:eastAsia="黑体" w:cs="Times New Roman"/>
              <w:color w:val="000000" w:themeColor="text1"/>
              <w:sz w:val="44"/>
              <w:szCs w:val="44"/>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44"/>
              <w:szCs w:val="44"/>
              <w:highlight w:val="none"/>
              <w14:textFill>
                <w14:solidFill>
                  <w14:schemeClr w14:val="tx1"/>
                </w14:solidFill>
              </w14:textFill>
            </w:rPr>
            <w:t>录</w:t>
          </w:r>
          <w:r>
            <w:rPr>
              <w:rFonts w:hint="default" w:ascii="Times New Roman" w:hAnsi="Times New Roman"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14:textFill>
                <w14:solidFill>
                  <w14:schemeClr w14:val="tx1"/>
                </w14:solidFill>
              </w14:textFill>
            </w:rPr>
            <w:instrText xml:space="preserve">TOC \o "1-2" \h \u </w:instrText>
          </w:r>
          <w:r>
            <w:rPr>
              <w:rFonts w:hint="default" w:ascii="Times New Roman" w:hAnsi="Times New Roman" w:cs="Times New Roman"/>
              <w:color w:val="000000" w:themeColor="text1"/>
              <w:sz w:val="24"/>
              <w:szCs w:val="24"/>
              <w:highlight w:val="none"/>
              <w14:textFill>
                <w14:solidFill>
                  <w14:schemeClr w14:val="tx1"/>
                </w14:solidFill>
              </w14:textFill>
            </w:rPr>
            <w:fldChar w:fldCharType="separate"/>
          </w:r>
        </w:p>
        <w:p w14:paraId="1A8F5EC9">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8"/>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_Toc32138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8"/>
              <w:highlight w:val="none"/>
              <w:lang w:eastAsia="zh"/>
              <w14:textFill>
                <w14:solidFill>
                  <w14:schemeClr w14:val="tx1"/>
                </w14:solidFill>
              </w14:textFill>
              <w:woUserID w:val="1"/>
            </w:rPr>
            <w:t>第一</w:t>
          </w:r>
          <w:r>
            <w:rPr>
              <w:rFonts w:hint="default" w:ascii="Times New Roman" w:hAnsi="Times New Roman" w:eastAsia="黑体" w:cs="Times New Roman"/>
              <w:color w:val="000000" w:themeColor="text1"/>
              <w:sz w:val="28"/>
              <w:szCs w:val="28"/>
              <w:highlight w:val="none"/>
              <w:lang w:eastAsia="zh"/>
              <w14:textFill>
                <w14:solidFill>
                  <w14:schemeClr w14:val="tx1"/>
                </w14:solidFill>
              </w14:textFill>
              <w:woUserID w:val="3"/>
            </w:rPr>
            <w:t>篇</w:t>
          </w:r>
          <w:r>
            <w:rPr>
              <w:rFonts w:hint="default" w:ascii="Times New Roman" w:hAnsi="Times New Roman" w:eastAsia="黑体" w:cs="Times New Roman"/>
              <w:color w:val="000000" w:themeColor="text1"/>
              <w:sz w:val="28"/>
              <w:szCs w:val="28"/>
              <w:highlight w:val="none"/>
              <w:lang w:eastAsia="zh"/>
              <w14:textFill>
                <w14:solidFill>
                  <w14:schemeClr w14:val="tx1"/>
                </w14:solidFill>
              </w14:textFill>
              <w:woUserID w:val="1"/>
            </w:rPr>
            <w:t xml:space="preserve"> “十五五”时期是全面建设社会主义现代化东风区的关键时期</w:t>
          </w:r>
          <w:r>
            <w:rPr>
              <w:rFonts w:hint="default" w:ascii="Times New Roman" w:hAnsi="Times New Roman" w:eastAsia="黑体" w:cs="Times New Roman"/>
              <w:color w:val="000000" w:themeColor="text1"/>
              <w:sz w:val="28"/>
              <w:szCs w:val="28"/>
              <w:highlight w:val="none"/>
              <w14:textFill>
                <w14:solidFill>
                  <w14:schemeClr w14:val="tx1"/>
                </w14:solidFill>
              </w14:textFill>
            </w:rPr>
            <w:tab/>
          </w:r>
          <w:r>
            <w:rPr>
              <w:rFonts w:hint="default" w:ascii="Times New Roman" w:hAnsi="Times New Roman" w:eastAsia="黑体" w:cs="Times New Roman"/>
              <w:color w:val="000000" w:themeColor="text1"/>
              <w:sz w:val="28"/>
              <w:szCs w:val="28"/>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8"/>
              <w:highlight w:val="none"/>
              <w14:textFill>
                <w14:solidFill>
                  <w14:schemeClr w14:val="tx1"/>
                </w14:solidFill>
              </w14:textFill>
            </w:rPr>
            <w:instrText xml:space="preserve"> PAGEREF _Toc32138 \h </w:instrText>
          </w:r>
          <w:r>
            <w:rPr>
              <w:rFonts w:hint="default" w:ascii="Times New Roman" w:hAnsi="Times New Roman" w:eastAsia="黑体" w:cs="Times New Roman"/>
              <w:color w:val="000000" w:themeColor="text1"/>
              <w:sz w:val="28"/>
              <w:szCs w:val="28"/>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8"/>
              <w:highlight w:val="none"/>
              <w14:textFill>
                <w14:solidFill>
                  <w14:schemeClr w14:val="tx1"/>
                </w14:solidFill>
              </w14:textFill>
            </w:rPr>
            <w:t>1</w:t>
          </w:r>
          <w:r>
            <w:rPr>
              <w:rFonts w:hint="default" w:ascii="Times New Roman" w:hAnsi="Times New Roman" w:eastAsia="黑体" w:cs="Times New Roman"/>
              <w:color w:val="000000" w:themeColor="text1"/>
              <w:sz w:val="28"/>
              <w:szCs w:val="28"/>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6A99CF58">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8"/>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_Toc13966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8"/>
              <w:highlight w:val="none"/>
              <w:lang w:eastAsia="zh"/>
              <w14:textFill>
                <w14:solidFill>
                  <w14:schemeClr w14:val="tx1"/>
                </w14:solidFill>
              </w14:textFill>
              <w:woUserID w:val="3"/>
            </w:rPr>
            <w:t>第一章 “十四五”时期</w:t>
          </w:r>
          <w:r>
            <w:rPr>
              <w:rFonts w:hint="default" w:ascii="Times New Roman" w:hAnsi="Times New Roman" w:eastAsia="楷体_GB2312" w:cs="Times New Roman"/>
              <w:bCs/>
              <w:color w:val="000000" w:themeColor="text1"/>
              <w:sz w:val="28"/>
              <w:szCs w:val="28"/>
              <w:highlight w:val="none"/>
              <w14:textFill>
                <w14:solidFill>
                  <w14:schemeClr w14:val="tx1"/>
                </w14:solidFill>
              </w14:textFill>
            </w:rPr>
            <w:t>我区经济社会发展取得重大</w:t>
          </w:r>
          <w:r>
            <w:rPr>
              <w:rFonts w:hint="default" w:ascii="Times New Roman" w:hAnsi="Times New Roman" w:eastAsia="楷体_GB2312" w:cs="Times New Roman"/>
              <w:bCs/>
              <w:color w:val="000000" w:themeColor="text1"/>
              <w:sz w:val="28"/>
              <w:szCs w:val="28"/>
              <w:highlight w:val="none"/>
              <w:lang w:val="en-US" w:eastAsia="zh-CN"/>
              <w14:textFill>
                <w14:solidFill>
                  <w14:schemeClr w14:val="tx1"/>
                </w14:solidFill>
              </w14:textFill>
            </w:rPr>
            <w:t>成就</w:t>
          </w:r>
          <w:r>
            <w:rPr>
              <w:rFonts w:hint="default" w:ascii="Times New Roman" w:hAnsi="Times New Roman" w:eastAsia="楷体_GB2312" w:cs="Times New Roman"/>
              <w:color w:val="000000" w:themeColor="text1"/>
              <w:sz w:val="28"/>
              <w:szCs w:val="28"/>
              <w:highlight w:val="none"/>
              <w14:textFill>
                <w14:solidFill>
                  <w14:schemeClr w14:val="tx1"/>
                </w14:solidFill>
              </w14:textFill>
            </w:rPr>
            <w:tab/>
          </w:r>
          <w:r>
            <w:rPr>
              <w:rFonts w:hint="eastAsia" w:eastAsia="楷体_GB2312"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4BACFBAB">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8"/>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_Toc15576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8"/>
              <w:highlight w:val="none"/>
              <w:lang w:eastAsia="zh"/>
              <w14:textFill>
                <w14:solidFill>
                  <w14:schemeClr w14:val="tx1"/>
                </w14:solidFill>
              </w14:textFill>
            </w:rPr>
            <w:t xml:space="preserve">第二章 </w:t>
          </w:r>
          <w:r>
            <w:rPr>
              <w:rFonts w:hint="default" w:ascii="Times New Roman" w:hAnsi="Times New Roman" w:eastAsia="楷体_GB2312" w:cs="Times New Roman"/>
              <w:bCs/>
              <w:color w:val="000000" w:themeColor="text1"/>
              <w:sz w:val="28"/>
              <w:szCs w:val="28"/>
              <w:highlight w:val="none"/>
              <w:lang w:val="en-US" w:eastAsia="zh-CN"/>
              <w14:textFill>
                <w14:solidFill>
                  <w14:schemeClr w14:val="tx1"/>
                </w14:solidFill>
              </w14:textFill>
            </w:rPr>
            <w:t>“十五五”时期全面建设社会主义现代化进程中具有承前启后的重要地位</w:t>
          </w:r>
          <w:r>
            <w:rPr>
              <w:rFonts w:hint="default" w:ascii="Times New Roman" w:hAnsi="Times New Roman" w:eastAsia="楷体_GB2312" w:cs="Times New Roman"/>
              <w:color w:val="000000" w:themeColor="text1"/>
              <w:sz w:val="28"/>
              <w:szCs w:val="28"/>
              <w:highlight w:val="none"/>
              <w14:textFill>
                <w14:solidFill>
                  <w14:schemeClr w14:val="tx1"/>
                </w14:solidFill>
              </w14:textFill>
            </w:rPr>
            <w:tab/>
          </w:r>
          <w:r>
            <w:rPr>
              <w:rFonts w:hint="default" w:ascii="Times New Roman" w:hAnsi="Times New Roman" w:eastAsia="楷体_GB2312" w:cs="Times New Roman"/>
              <w:color w:val="000000" w:themeColor="text1"/>
              <w:sz w:val="28"/>
              <w:szCs w:val="28"/>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8"/>
              <w:highlight w:val="none"/>
              <w14:textFill>
                <w14:solidFill>
                  <w14:schemeClr w14:val="tx1"/>
                </w14:solidFill>
              </w14:textFill>
            </w:rPr>
            <w:instrText xml:space="preserve"> PAGEREF _Toc15576 \h </w:instrText>
          </w:r>
          <w:r>
            <w:rPr>
              <w:rFonts w:hint="default" w:ascii="Times New Roman" w:hAnsi="Times New Roman" w:eastAsia="楷体_GB2312" w:cs="Times New Roman"/>
              <w:color w:val="000000" w:themeColor="text1"/>
              <w:sz w:val="28"/>
              <w:szCs w:val="28"/>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8"/>
              <w:highlight w:val="none"/>
              <w14:textFill>
                <w14:solidFill>
                  <w14:schemeClr w14:val="tx1"/>
                </w14:solidFill>
              </w14:textFill>
            </w:rPr>
            <w:t>6</w:t>
          </w:r>
          <w:r>
            <w:rPr>
              <w:rFonts w:hint="default" w:ascii="Times New Roman" w:hAnsi="Times New Roman" w:eastAsia="楷体_GB2312" w:cs="Times New Roman"/>
              <w:color w:val="000000" w:themeColor="text1"/>
              <w:sz w:val="28"/>
              <w:szCs w:val="28"/>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22C0AED3">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8"/>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_Toc17448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8"/>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8"/>
              <w:highlight w:val="none"/>
              <w:lang w:val="en-US" w:eastAsia="zh-CN"/>
              <w14:textFill>
                <w14:solidFill>
                  <w14:schemeClr w14:val="tx1"/>
                </w14:solidFill>
              </w14:textFill>
            </w:rPr>
            <w:t>三</w:t>
          </w:r>
          <w:r>
            <w:rPr>
              <w:rFonts w:hint="default" w:ascii="Times New Roman" w:hAnsi="Times New Roman" w:eastAsia="楷体_GB2312" w:cs="Times New Roman"/>
              <w:color w:val="000000" w:themeColor="text1"/>
              <w:sz w:val="28"/>
              <w:szCs w:val="28"/>
              <w:highlight w:val="none"/>
              <w:lang w:eastAsia="zh"/>
              <w14:textFill>
                <w14:solidFill>
                  <w14:schemeClr w14:val="tx1"/>
                </w14:solidFill>
              </w14:textFill>
            </w:rPr>
            <w:t>章 “十五五”时期</w:t>
          </w:r>
          <w:r>
            <w:rPr>
              <w:rFonts w:hint="default" w:ascii="Times New Roman" w:hAnsi="Times New Roman" w:eastAsia="楷体_GB2312" w:cs="Times New Roman"/>
              <w:color w:val="000000" w:themeColor="text1"/>
              <w:sz w:val="28"/>
              <w:szCs w:val="28"/>
              <w:highlight w:val="none"/>
              <w:lang w:val="en-US" w:eastAsia="zh-CN"/>
              <w14:textFill>
                <w14:solidFill>
                  <w14:schemeClr w14:val="tx1"/>
                </w14:solidFill>
              </w14:textFill>
            </w:rPr>
            <w:t>发展环境面临深刻复杂变化</w:t>
          </w:r>
          <w:r>
            <w:rPr>
              <w:rFonts w:hint="default" w:ascii="Times New Roman" w:hAnsi="Times New Roman" w:eastAsia="楷体_GB2312" w:cs="Times New Roman"/>
              <w:color w:val="000000" w:themeColor="text1"/>
              <w:sz w:val="28"/>
              <w:szCs w:val="28"/>
              <w:highlight w:val="none"/>
              <w14:textFill>
                <w14:solidFill>
                  <w14:schemeClr w14:val="tx1"/>
                </w14:solidFill>
              </w14:textFill>
            </w:rPr>
            <w:tab/>
          </w:r>
          <w:r>
            <w:rPr>
              <w:rFonts w:hint="default" w:ascii="Times New Roman" w:hAnsi="Times New Roman" w:eastAsia="楷体_GB2312" w:cs="Times New Roman"/>
              <w:color w:val="000000" w:themeColor="text1"/>
              <w:sz w:val="28"/>
              <w:szCs w:val="28"/>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8"/>
              <w:highlight w:val="none"/>
              <w14:textFill>
                <w14:solidFill>
                  <w14:schemeClr w14:val="tx1"/>
                </w14:solidFill>
              </w14:textFill>
            </w:rPr>
            <w:instrText xml:space="preserve"> PAGEREF _Toc17448 \h </w:instrText>
          </w:r>
          <w:r>
            <w:rPr>
              <w:rFonts w:hint="default" w:ascii="Times New Roman" w:hAnsi="Times New Roman" w:eastAsia="楷体_GB2312" w:cs="Times New Roman"/>
              <w:color w:val="000000" w:themeColor="text1"/>
              <w:sz w:val="28"/>
              <w:szCs w:val="28"/>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8"/>
              <w:highlight w:val="none"/>
              <w14:textFill>
                <w14:solidFill>
                  <w14:schemeClr w14:val="tx1"/>
                </w14:solidFill>
              </w14:textFill>
            </w:rPr>
            <w:t>7</w:t>
          </w:r>
          <w:r>
            <w:rPr>
              <w:rFonts w:hint="default" w:ascii="Times New Roman" w:hAnsi="Times New Roman" w:eastAsia="楷体_GB2312" w:cs="Times New Roman"/>
              <w:color w:val="000000" w:themeColor="text1"/>
              <w:sz w:val="28"/>
              <w:szCs w:val="28"/>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15A8BB0">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_Toc5404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 xml:space="preserve">第二篇 </w:t>
          </w:r>
          <w:r>
            <w:rPr>
              <w:rFonts w:hint="default" w:ascii="Times New Roman" w:hAnsi="Times New Roman" w:eastAsia="黑体" w:cs="Times New Roman"/>
              <w:color w:val="000000" w:themeColor="text1"/>
              <w:sz w:val="28"/>
              <w:szCs w:val="24"/>
              <w:highlight w:val="none"/>
              <w14:textFill>
                <w14:solidFill>
                  <w14:schemeClr w14:val="tx1"/>
                </w14:solidFill>
              </w14:textFill>
            </w:rPr>
            <w:t>“十五五”时期经济社会发展</w:t>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的总体要求</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_Toc5404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9</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44E1EB09">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eastAsia" w:ascii="Times New Roman" w:hAnsi="Times New Roman" w:eastAsia="楷体_GB2312" w:cs="Times New Roman"/>
              <w:color w:val="000000" w:themeColor="text1"/>
              <w:sz w:val="28"/>
              <w:szCs w:val="24"/>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_Toc3397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四</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 “十五五”时期经济社会发展的指导思想</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eastAsia" w:eastAsia="楷体_GB2312" w:cs="Times New Roman"/>
              <w:color w:val="000000" w:themeColor="text1"/>
              <w:sz w:val="28"/>
              <w:szCs w:val="24"/>
              <w:highlight w:val="none"/>
              <w:lang w:val="en-US" w:eastAsia="zh-CN"/>
              <w14:textFill>
                <w14:solidFill>
                  <w14:schemeClr w14:val="tx1"/>
                </w14:solidFill>
              </w14:textFill>
            </w:rPr>
            <w:t>1</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eastAsia" w:eastAsia="楷体_GB2312" w:cs="Times New Roman"/>
              <w:color w:val="000000" w:themeColor="text1"/>
              <w:sz w:val="28"/>
              <w:szCs w:val="24"/>
              <w:highlight w:val="none"/>
              <w:lang w:val="en-US" w:eastAsia="zh-CN"/>
              <w14:textFill>
                <w14:solidFill>
                  <w14:schemeClr w14:val="tx1"/>
                </w14:solidFill>
              </w14:textFill>
            </w:rPr>
            <w:t>0</w:t>
          </w:r>
        </w:p>
        <w:p w14:paraId="2EF3E069">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_Toc17584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五</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 “十五五”时期经济社会发展必须遵守的原则</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_Toc17584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11</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012DB00">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_Toc23534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六</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 “十五五”时期经济社会发展的战略定位</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_Toc23534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12</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3D719DC3">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_Toc17959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七</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 “十五五”时期经济社会发展的</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主要目标</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_Toc17959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13</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3DD0ACBF">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_Toc32342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三</w:t>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篇 加快农业农村现代化，扎实推进乡村全面振兴</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_Toc32342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17</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528A3DA3">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_Toc7466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八</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 提升粮食综合生产能力</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_Toc7466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17</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71F4C19E">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_Toc9913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九</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 加快发展现代化大农业</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_Toc9913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20</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2517A07F">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_Toc25432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十</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 xml:space="preserve"> 构建多元化食物供给体系</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_Toc25432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24</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093B7832">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_Toc16198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十</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一</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 xml:space="preserve"> 建设宜居宜业和美乡村</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_Toc16198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26</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258CCE36">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_Toc23814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十二章</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 xml:space="preserve"> 提高强农惠农富农政策效能</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_Toc23814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29</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759A7D03">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_Toc31324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四</w:t>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 xml:space="preserve">篇 </w:t>
          </w:r>
          <w:r>
            <w:rPr>
              <w:rFonts w:hint="default" w:ascii="Times New Roman" w:hAnsi="Times New Roman" w:eastAsia="黑体" w:cs="Times New Roman"/>
              <w:color w:val="000000" w:themeColor="text1"/>
              <w:sz w:val="28"/>
              <w:szCs w:val="24"/>
              <w:highlight w:val="none"/>
              <w:lang w:val="en-US" w:eastAsia="zh"/>
              <w14:textFill>
                <w14:solidFill>
                  <w14:schemeClr w14:val="tx1"/>
                </w14:solidFill>
              </w14:textFill>
            </w:rPr>
            <w:t>建设现代化产业体系，巩固壮大实体经济根基</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_Toc31324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31</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0D9BBC77">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sectPr>
              <w:headerReference r:id="rId5" w:type="default"/>
              <w:footerReference r:id="rId6" w:type="default"/>
              <w:pgSz w:w="11906" w:h="16838"/>
              <w:pgMar w:top="2098" w:right="1531" w:bottom="1984" w:left="1531" w:header="851" w:footer="992" w:gutter="0"/>
              <w:pgNumType w:start="1"/>
              <w:cols w:space="425" w:num="1"/>
              <w:docGrid w:type="lines" w:linePitch="312" w:charSpace="0"/>
            </w:sectPr>
          </w:pPr>
        </w:p>
        <w:p w14:paraId="181C5A98">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_Toc23819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第十</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三</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 优化提升传统产业</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_Toc23819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31</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6E25B708">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_Toc27035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第十</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四</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 培育壮大新兴和未来产业</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_Toc27035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35</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7DBE3CB2">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_Toc14344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第十</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五</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扩能提质现代服务业</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_Toc14344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36</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2C13C648">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_Toc31386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第十</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六</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章 培育数字经济发展新引擎</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_Toc31386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37</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D3D0D5D">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_Toc19142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五</w:t>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 xml:space="preserve">篇 </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以科技创新引领新质生产力发展，培育高质量振兴发展新动能</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_Toc19142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39</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7D2CB110">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_Toc28233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第十</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七</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章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加快关键核心技术攻关</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_Toc28233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39</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71210B24">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_Toc29853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第十</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八</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章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建设高能级创新平台</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_Toc29853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40</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2F1A4BF">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_Toc18489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十九</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章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推动科技创新和产业创新深度融合</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_Toc18489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42</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75A86243">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_Toc11782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二十</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章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一体推进科技人才发展</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_Toc11782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43</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67606456">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_Toc23917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六</w:t>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 xml:space="preserve">篇 </w:t>
          </w:r>
          <w:r>
            <w:rPr>
              <w:rFonts w:hint="default" w:ascii="Times New Roman" w:hAnsi="Times New Roman" w:eastAsia="黑体" w:cs="Times New Roman"/>
              <w:color w:val="000000" w:themeColor="text1"/>
              <w:sz w:val="28"/>
              <w:szCs w:val="24"/>
              <w:highlight w:val="none"/>
              <w14:textFill>
                <w14:solidFill>
                  <w14:schemeClr w14:val="tx1"/>
                </w14:solidFill>
              </w14:textFill>
            </w:rPr>
            <w:t>服务建设强大国内市场，积极融入新发展格局</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_Toc23917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44</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2C43A62C">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_Toc25794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二十一</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章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推动消费提质扩容</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_Toc25794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44</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2CF89F46">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_Toc9817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 xml:space="preserve">第二十二章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提升投资规模和效益</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_Toc9817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46</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0D3C5817">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_Toc21055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第二十三章 融入全国统一大市场</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_Toc21055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48</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5D7BC6E1">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_Toc22077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 xml:space="preserve">第二十四章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增强陆港型国家物流枢纽功能</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_Toc22077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48</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4692CD0F">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_Toc26146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七</w:t>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篇 推进经济领域改革，增强高质量振兴发展动力</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_Toc26146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51</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13241F6C">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_Toc2564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 xml:space="preserve">第二十五章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打造为企赋能的营商环境</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_Toc2564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51</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8A7C4D7">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_Toc28190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第二十六章 促进民营经济发展壮大</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_Toc28190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53</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5BEE7770">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_Toc13119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第二十七章 促进要素市场化配置</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_Toc13119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54</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065C866D">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_Toc11646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第二十八章 提高经济治理能力</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_Toc11646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55</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516C462A">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_Toc18438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第八篇 扩大高水平对外开放，拓展高质量振兴发展空间</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_Toc18438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56</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616E7808">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_Toc27153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第二十九章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提高对外经贸合作水平</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_Toc27153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56</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67E56BC7">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sectPr>
              <w:footerReference r:id="rId7" w:type="default"/>
              <w:pgSz w:w="11906" w:h="16838"/>
              <w:pgMar w:top="2098" w:right="1531" w:bottom="1984" w:left="1531" w:header="851" w:footer="992" w:gutter="0"/>
              <w:pgNumType w:start="1"/>
              <w:cols w:space="425" w:num="1"/>
              <w:docGrid w:type="lines" w:linePitch="312" w:charSpace="0"/>
            </w:sectPr>
          </w:pPr>
        </w:p>
        <w:p w14:paraId="59D3A217">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_Toc18106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第三十章 发展外向型产业集群</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_Toc18106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57</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38661C74">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_Toc24914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第三十一章 </w:t>
          </w:r>
          <w:r>
            <w:rPr>
              <w:rFonts w:hint="default" w:ascii="Times New Roman" w:hAnsi="Times New Roman" w:eastAsia="楷体_GB2312" w:cs="Times New Roman"/>
              <w:color w:val="000000" w:themeColor="text1"/>
              <w:sz w:val="28"/>
              <w:szCs w:val="24"/>
              <w:highlight w:val="none"/>
              <w:lang w:eastAsia="zh-CN"/>
              <w14:textFill>
                <w14:solidFill>
                  <w14:schemeClr w14:val="tx1"/>
                </w14:solidFill>
              </w14:textFill>
            </w:rPr>
            <w:t>打通江海联运通道</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_Toc24914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59</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499E125C">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_Toc21759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第九篇 构建现代化基础设施体系，支撑经济社会高质量发展</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_Toc21759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60</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0FF0F76C">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_Toc15211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第三十二章 优化区域综合交通网络</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_Toc15211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60</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AA89E7D">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_Toc18358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第三十三章 加强水利基础设施建设</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_Toc18358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61</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A745DDF">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_Toc19382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第三十四章 推进能源基础设施建设</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_Toc19382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62</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209BA335">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_Toc10367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第三十五章 加快数据基础设施建设</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_Toc10367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64</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4D992198">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_Toc28024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 xml:space="preserve">第十篇 </w:t>
          </w:r>
          <w:r>
            <w:rPr>
              <w:rFonts w:hint="default" w:ascii="Times New Roman" w:hAnsi="Times New Roman" w:eastAsia="黑体" w:cs="Times New Roman"/>
              <w:color w:val="000000" w:themeColor="text1"/>
              <w:sz w:val="28"/>
              <w:szCs w:val="24"/>
              <w:highlight w:val="none"/>
              <w14:textFill>
                <w14:solidFill>
                  <w14:schemeClr w14:val="tx1"/>
                </w14:solidFill>
              </w14:textFill>
            </w:rPr>
            <w:t>优化经济布局和资源配置，促进区域协调发展</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_Toc28024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66</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1A0FFAA3">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_Toc2946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 xml:space="preserve">第三十六章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深入落实国省区域发展战略</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_Toc2946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66</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61E20992">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_Toc11696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第三十七章 优化区域发展布局</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_Toc11696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67</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376E0F70">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_Toc18613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第三十八章 推进以人为本的新型城镇化</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_Toc18613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69</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26826909">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_Toc20394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第三十九章 大力发展县域经济</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_Toc20394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70</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43D91A9E">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_Toc23733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十一篇</w:t>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 xml:space="preserve"> 繁荣发展</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社会主义</w:t>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文化，推动文化和旅游深度融合</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_Toc23733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71</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7254AF45">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_Toc4610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第四十章 弘扬和践行社会主义核心价值观</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_Toc4610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72</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8C284F9">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_Toc22078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四十一章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推动</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文化事业</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繁荣</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_Toc22078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73</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0BF4A5C6">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_Toc12502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第四十二章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加快发展文化产业</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_Toc12502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75</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799871A4">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_Toc28696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第四十三章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完善现代旅游业体系</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_Toc28696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76</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627DA65">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_Toc13923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第</w:t>
          </w:r>
          <w:r>
            <w:rPr>
              <w:rFonts w:hint="default" w:ascii="Times New Roman" w:hAnsi="Times New Roman" w:eastAsia="黑体" w:cs="Times New Roman"/>
              <w:color w:val="000000" w:themeColor="text1"/>
              <w:sz w:val="28"/>
              <w:szCs w:val="24"/>
              <w:highlight w:val="none"/>
              <w14:textFill>
                <w14:solidFill>
                  <w14:schemeClr w14:val="tx1"/>
                </w14:solidFill>
              </w14:textFill>
            </w:rPr>
            <w:t>十</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二</w:t>
          </w:r>
          <w:r>
            <w:rPr>
              <w:rFonts w:hint="eastAsia" w:eastAsia="黑体" w:cs="Times New Roman"/>
              <w:color w:val="000000" w:themeColor="text1"/>
              <w:sz w:val="28"/>
              <w:szCs w:val="24"/>
              <w:highlight w:val="none"/>
              <w:lang w:val="en-US" w:eastAsia="zh-CN"/>
              <w14:textFill>
                <w14:solidFill>
                  <w14:schemeClr w14:val="tx1"/>
                </w14:solidFill>
              </w14:textFill>
            </w:rPr>
            <w:t>篇</w:t>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黑体" w:cs="Times New Roman"/>
              <w:color w:val="000000" w:themeColor="text1"/>
              <w:sz w:val="28"/>
              <w:szCs w:val="24"/>
              <w:highlight w:val="none"/>
              <w14:textFill>
                <w14:solidFill>
                  <w14:schemeClr w14:val="tx1"/>
                </w14:solidFill>
              </w14:textFill>
            </w:rPr>
            <w:t>加大保障和改善民生力度，不断满足人民群众对美好生活的向往</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_Toc13923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78</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614FE54B">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_Toc17344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第四十四章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促进高质量充分就业</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_Toc17344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79</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78A34204">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_Toc30108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第四十五章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提升居民收入水平</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_Toc30108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80</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6AE7FFD5">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sectPr>
              <w:footerReference r:id="rId8" w:type="default"/>
              <w:pgSz w:w="11906" w:h="16838"/>
              <w:pgMar w:top="2098" w:right="1531" w:bottom="1984" w:left="1531" w:header="851" w:footer="992" w:gutter="0"/>
              <w:pgNumType w:start="1"/>
              <w:cols w:space="425" w:num="1"/>
              <w:docGrid w:type="lines" w:linePitch="312" w:charSpace="0"/>
            </w:sectPr>
          </w:pPr>
        </w:p>
        <w:p w14:paraId="0A9A33A0">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_Toc8734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第四十六章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办好人民满意的教育</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_Toc8734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81</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0CF166F2">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_Toc9861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第四十七章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健全社会保障体系</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_Toc9861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84</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637C69D4">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_Toc19193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第四十八章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推进健康东风区建设</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_Toc19193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85</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013F32FA">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_Toc6740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第四十九章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促进人口高质量发展</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_Toc6740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87</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22D22CE2">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_Toc16655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第五十章</w:t>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 </w:t>
          </w:r>
          <w:r>
            <w:rPr>
              <w:rFonts w:hint="eastAsia" w:ascii="楷体" w:hAnsi="楷体" w:eastAsia="楷体"/>
              <w:b w:val="0"/>
              <w:bCs w:val="0"/>
              <w:color w:val="000000" w:themeColor="text1"/>
              <w:sz w:val="28"/>
              <w:szCs w:val="28"/>
              <w14:textFill>
                <w14:solidFill>
                  <w14:schemeClr w14:val="tx1"/>
                </w14:solidFill>
              </w14:textFill>
            </w:rPr>
            <w:t>稳步推进基本公共服务均等化</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_Toc16655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90</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339EFD36">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_Toc28070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eastAsia="zh"/>
              <w14:textFill>
                <w14:solidFill>
                  <w14:schemeClr w14:val="tx1"/>
                </w14:solidFill>
              </w14:textFill>
            </w:rPr>
            <w:t xml:space="preserve">第十三篇 </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加快经济社会发展全面绿色转型，建设美丽东风区</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_Toc28070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92</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3F6713F0">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_Toc10240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第五十一章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持续深入推进污染防治攻坚</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_Toc10240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92</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400A54F6">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_Toc4422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第五十二章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加强生态系统保护与修复</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_Toc4422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94</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292B7C14">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_Toc16997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第五十三章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积极稳妥推进碳达峰碳中和</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_Toc16997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95</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63E0EFED">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_Toc1634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eastAsia="zh"/>
              <w14:textFill>
                <w14:solidFill>
                  <w14:schemeClr w14:val="tx1"/>
                </w14:solidFill>
              </w14:textFill>
            </w:rPr>
            <w:t xml:space="preserve">第五十四章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加快形成绿色生产生活方式</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_Toc1634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97</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32645EC2">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_Toc6605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 xml:space="preserve">第十四篇 </w:t>
          </w:r>
          <w:r>
            <w:rPr>
              <w:rFonts w:hint="default" w:ascii="Times New Roman" w:hAnsi="Times New Roman" w:eastAsia="黑体" w:cs="Times New Roman"/>
              <w:color w:val="000000" w:themeColor="text1"/>
              <w:sz w:val="28"/>
              <w:szCs w:val="24"/>
              <w:highlight w:val="none"/>
              <w14:textFill>
                <w14:solidFill>
                  <w14:schemeClr w14:val="tx1"/>
                </w14:solidFill>
              </w14:textFill>
            </w:rPr>
            <w:t>推进安全体系和安全能力现代化，建设更高水平平安</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东风区</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_Toc6605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98</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5D14EC38">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_Toc20761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第五十五章 增强维护国家安全能力</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_Toc20761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98</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634F461A">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_Toc26487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第五十六章 服务国防和军队现代化建设</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_Toc26487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99</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519B8CCD">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_Toc31947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第五十七章 提高公共安全治理水平</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_Toc31947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100</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38A541B6">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_Toc19452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第五十八章 加强和创新基层社会治理</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_Toc19452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102</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1132E34">
          <w:pPr>
            <w:pStyle w:val="13"/>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黑体" w:cs="Times New Roman"/>
              <w:color w:val="000000" w:themeColor="text1"/>
              <w:sz w:val="28"/>
              <w:szCs w:val="24"/>
              <w:highlight w:val="none"/>
              <w14:textFill>
                <w14:solidFill>
                  <w14:schemeClr w14:val="tx1"/>
                </w14:solidFill>
              </w14:textFill>
            </w:rPr>
          </w:pP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HYPERLINK \l _Toc10127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 xml:space="preserve">第十五篇 </w:t>
          </w:r>
          <w:r>
            <w:rPr>
              <w:rFonts w:hint="default" w:ascii="Times New Roman" w:hAnsi="Times New Roman" w:eastAsia="黑体" w:cs="Times New Roman"/>
              <w:color w:val="000000" w:themeColor="text1"/>
              <w:sz w:val="28"/>
              <w:szCs w:val="24"/>
              <w:highlight w:val="none"/>
              <w14:textFill>
                <w14:solidFill>
                  <w14:schemeClr w14:val="tx1"/>
                </w14:solidFill>
              </w14:textFill>
            </w:rPr>
            <w:t>广泛凝聚各方力量为实现“十五五”规划而</w:t>
          </w:r>
          <w:r>
            <w:rPr>
              <w:rFonts w:hint="default" w:ascii="Times New Roman" w:hAnsi="Times New Roman" w:eastAsia="黑体" w:cs="Times New Roman"/>
              <w:color w:val="000000" w:themeColor="text1"/>
              <w:sz w:val="28"/>
              <w:szCs w:val="24"/>
              <w:highlight w:val="none"/>
              <w:lang w:val="en-US" w:eastAsia="zh-CN"/>
              <w14:textFill>
                <w14:solidFill>
                  <w14:schemeClr w14:val="tx1"/>
                </w14:solidFill>
              </w14:textFill>
            </w:rPr>
            <w:t>努力</w:t>
          </w:r>
          <w:r>
            <w:rPr>
              <w:rFonts w:hint="default" w:ascii="Times New Roman" w:hAnsi="Times New Roman" w:eastAsia="黑体" w:cs="Times New Roman"/>
              <w:color w:val="000000" w:themeColor="text1"/>
              <w:sz w:val="28"/>
              <w:szCs w:val="24"/>
              <w:highlight w:val="none"/>
              <w14:textFill>
                <w14:solidFill>
                  <w14:schemeClr w14:val="tx1"/>
                </w14:solidFill>
              </w14:textFill>
            </w:rPr>
            <w:t>奋斗</w:t>
          </w:r>
          <w:r>
            <w:rPr>
              <w:rFonts w:hint="default" w:ascii="Times New Roman" w:hAnsi="Times New Roman" w:eastAsia="黑体" w:cs="Times New Roman"/>
              <w:color w:val="000000" w:themeColor="text1"/>
              <w:sz w:val="28"/>
              <w:szCs w:val="24"/>
              <w:highlight w:val="none"/>
              <w14:textFill>
                <w14:solidFill>
                  <w14:schemeClr w14:val="tx1"/>
                </w14:solidFill>
              </w14:textFill>
            </w:rPr>
            <w:tab/>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黑体" w:cs="Times New Roman"/>
              <w:color w:val="000000" w:themeColor="text1"/>
              <w:sz w:val="28"/>
              <w:szCs w:val="24"/>
              <w:highlight w:val="none"/>
              <w14:textFill>
                <w14:solidFill>
                  <w14:schemeClr w14:val="tx1"/>
                </w14:solidFill>
              </w14:textFill>
            </w:rPr>
            <w:instrText xml:space="preserve"> PAGEREF _Toc10127 \h </w:instrTex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黑体" w:cs="Times New Roman"/>
              <w:color w:val="000000" w:themeColor="text1"/>
              <w:sz w:val="28"/>
              <w:szCs w:val="24"/>
              <w:highlight w:val="none"/>
              <w14:textFill>
                <w14:solidFill>
                  <w14:schemeClr w14:val="tx1"/>
                </w14:solidFill>
              </w14:textFill>
            </w:rPr>
            <w:t>105</w:t>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黑体" w:cs="Times New Roman"/>
              <w:color w:val="000000" w:themeColor="text1"/>
              <w:sz w:val="28"/>
              <w:szCs w:val="24"/>
              <w:highlight w:val="none"/>
              <w14:textFill>
                <w14:solidFill>
                  <w14:schemeClr w14:val="tx1"/>
                </w14:solidFill>
              </w14:textFill>
            </w:rPr>
            <w:fldChar w:fldCharType="end"/>
          </w:r>
        </w:p>
        <w:p w14:paraId="08DBFAE1">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_Toc5460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第五十九章 坚持和</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加强党的全面领导</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PAGEREF _Toc5460 \h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14:textFill>
                <w14:solidFill>
                  <w14:schemeClr w14:val="tx1"/>
                </w14:solidFill>
              </w14:textFill>
            </w:rPr>
            <w:t>105</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p>
        <w:p w14:paraId="11B08772">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_Toc30395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 xml:space="preserve">第六十章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健全统一规划体系</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eastAsia" w:eastAsia="楷体_GB2312" w:cs="Times New Roman"/>
              <w:color w:val="000000" w:themeColor="text1"/>
              <w:sz w:val="28"/>
              <w:szCs w:val="24"/>
              <w:highlight w:val="none"/>
              <w:lang w:val="en-US" w:eastAsia="zh-CN"/>
              <w14:textFill>
                <w14:solidFill>
                  <w14:schemeClr w14:val="tx1"/>
                </w14:solidFill>
              </w14:textFill>
            </w:rPr>
            <w:t>1</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eastAsia" w:eastAsia="楷体_GB2312" w:cs="Times New Roman"/>
              <w:color w:val="000000" w:themeColor="text1"/>
              <w:sz w:val="28"/>
              <w:szCs w:val="24"/>
              <w:highlight w:val="none"/>
              <w:lang w:val="en-US" w:eastAsia="zh-CN"/>
              <w14:textFill>
                <w14:solidFill>
                  <w14:schemeClr w14:val="tx1"/>
                </w14:solidFill>
              </w14:textFill>
            </w:rPr>
            <w:t>06</w:t>
          </w:r>
        </w:p>
        <w:p w14:paraId="2404630D">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begin"/>
          </w:r>
          <w:r>
            <w:rPr>
              <w:rFonts w:hint="default" w:ascii="Times New Roman" w:hAnsi="Times New Roman" w:eastAsia="楷体_GB2312" w:cs="Times New Roman"/>
              <w:color w:val="000000" w:themeColor="text1"/>
              <w:sz w:val="28"/>
              <w:szCs w:val="24"/>
              <w:highlight w:val="none"/>
              <w14:textFill>
                <w14:solidFill>
                  <w14:schemeClr w14:val="tx1"/>
                </w14:solidFill>
              </w14:textFill>
            </w:rPr>
            <w:instrText xml:space="preserve"> HYPERLINK \l _Toc3534 </w:instrTex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separate"/>
          </w:r>
          <w:r>
            <w:rPr>
              <w:rFonts w:hint="default" w:ascii="Times New Roman" w:hAnsi="Times New Roman" w:eastAsia="楷体_GB2312" w:cs="Times New Roman"/>
              <w:color w:val="000000" w:themeColor="text1"/>
              <w:sz w:val="28"/>
              <w:szCs w:val="24"/>
              <w:highlight w:val="none"/>
              <w:lang w:val="en-US" w:eastAsia="zh-CN"/>
              <w14:textFill>
                <w14:solidFill>
                  <w14:schemeClr w14:val="tx1"/>
                </w14:solidFill>
              </w14:textFill>
            </w:rPr>
            <w:t xml:space="preserve">第六十一章 </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完善规划实施机制</w:t>
          </w:r>
          <w:r>
            <w:rPr>
              <w:rFonts w:hint="default" w:ascii="Times New Roman" w:hAnsi="Times New Roman" w:eastAsia="楷体_GB2312" w:cs="Times New Roman"/>
              <w:color w:val="000000" w:themeColor="text1"/>
              <w:sz w:val="28"/>
              <w:szCs w:val="24"/>
              <w:highlight w:val="none"/>
              <w14:textFill>
                <w14:solidFill>
                  <w14:schemeClr w14:val="tx1"/>
                </w14:solidFill>
              </w14:textFill>
            </w:rPr>
            <w:tab/>
          </w:r>
          <w:r>
            <w:rPr>
              <w:rFonts w:hint="eastAsia" w:eastAsia="楷体_GB2312" w:cs="Times New Roman"/>
              <w:color w:val="000000" w:themeColor="text1"/>
              <w:sz w:val="28"/>
              <w:szCs w:val="24"/>
              <w:highlight w:val="none"/>
              <w:lang w:val="en-US" w:eastAsia="zh-CN"/>
              <w14:textFill>
                <w14:solidFill>
                  <w14:schemeClr w14:val="tx1"/>
                </w14:solidFill>
              </w14:textFill>
            </w:rPr>
            <w:t>1</w:t>
          </w:r>
          <w:r>
            <w:rPr>
              <w:rFonts w:hint="default" w:ascii="Times New Roman" w:hAnsi="Times New Roman" w:eastAsia="楷体_GB2312" w:cs="Times New Roman"/>
              <w:color w:val="000000" w:themeColor="text1"/>
              <w:sz w:val="28"/>
              <w:szCs w:val="24"/>
              <w:highlight w:val="none"/>
              <w14:textFill>
                <w14:solidFill>
                  <w14:schemeClr w14:val="tx1"/>
                </w14:solidFill>
              </w14:textFill>
            </w:rPr>
            <w:fldChar w:fldCharType="end"/>
          </w:r>
          <w:r>
            <w:rPr>
              <w:rFonts w:hint="eastAsia" w:eastAsia="楷体_GB2312" w:cs="Times New Roman"/>
              <w:color w:val="000000" w:themeColor="text1"/>
              <w:sz w:val="28"/>
              <w:szCs w:val="24"/>
              <w:highlight w:val="none"/>
              <w:lang w:val="en-US" w:eastAsia="zh-CN"/>
              <w14:textFill>
                <w14:solidFill>
                  <w14:schemeClr w14:val="tx1"/>
                </w14:solidFill>
              </w14:textFill>
            </w:rPr>
            <w:t>07</w:t>
          </w:r>
        </w:p>
        <w:p w14:paraId="2493C452">
          <w:pPr>
            <w:pStyle w:val="14"/>
            <w:pageBreakBefore w:val="0"/>
            <w:widowControl w:val="0"/>
            <w:tabs>
              <w:tab w:val="right" w:leader="dot" w:pos="8844"/>
            </w:tabs>
            <w:kinsoku/>
            <w:wordWrap/>
            <w:topLinePunct w:val="0"/>
            <w:autoSpaceDN/>
            <w:bidi w:val="0"/>
            <w:snapToGrid w:val="0"/>
            <w:spacing w:beforeAutospacing="0" w:afterAutospacing="0" w:line="600" w:lineRule="exact"/>
            <w:ind w:left="0" w:leftChars="0" w:firstLine="0" w:firstLineChars="0"/>
            <w:jc w:val="both"/>
            <w:rPr>
              <w:rFonts w:hint="default" w:ascii="Times New Roman" w:hAnsi="Times New Roman" w:eastAsia="楷体_GB2312" w:cs="Times New Roman"/>
              <w:color w:val="000000" w:themeColor="text1"/>
              <w:sz w:val="28"/>
              <w:szCs w:val="24"/>
              <w:highlight w:val="none"/>
              <w14:textFill>
                <w14:solidFill>
                  <w14:schemeClr w14:val="tx1"/>
                </w14:solidFill>
              </w14:textFill>
            </w:rPr>
          </w:pPr>
        </w:p>
        <w:p w14:paraId="35FF8A5F">
          <w:pPr>
            <w:keepNext w:val="0"/>
            <w:keepLines w:val="0"/>
            <w:pageBreakBefore w:val="0"/>
            <w:widowControl w:val="0"/>
            <w:kinsoku/>
            <w:wordWrap/>
            <w:topLinePunct w:val="0"/>
            <w:autoSpaceDN/>
            <w:bidi w:val="0"/>
            <w:snapToGrid w:val="0"/>
            <w:spacing w:beforeAutospacing="0" w:afterAutospacing="0" w:line="600" w:lineRule="exact"/>
            <w:ind w:firstLine="0" w:firstLineChars="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fldChar w:fldCharType="end"/>
          </w:r>
        </w:p>
      </w:sdtContent>
    </w:sdt>
    <w:p w14:paraId="750CBB2F">
      <w:pPr>
        <w:keepNext w:val="0"/>
        <w:keepLines w:val="0"/>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cs="Times New Roman"/>
          <w:color w:val="000000" w:themeColor="text1"/>
          <w:highlight w:val="none"/>
          <w14:textFill>
            <w14:solidFill>
              <w14:schemeClr w14:val="tx1"/>
            </w14:solidFill>
          </w14:textFill>
        </w:rPr>
        <w:sectPr>
          <w:footerReference r:id="rId9" w:type="default"/>
          <w:pgSz w:w="11906" w:h="16838"/>
          <w:pgMar w:top="2098" w:right="1531" w:bottom="1984" w:left="1531" w:header="851" w:footer="992" w:gutter="0"/>
          <w:pgNumType w:start="1"/>
          <w:cols w:space="425" w:num="1"/>
          <w:docGrid w:type="lines" w:linePitch="312" w:charSpace="0"/>
        </w:sectPr>
      </w:pPr>
    </w:p>
    <w:p w14:paraId="4D2163D6">
      <w:pPr>
        <w:keepNext w:val="0"/>
        <w:keepLines w:val="0"/>
        <w:pageBreakBefore w:val="0"/>
        <w:widowControl w:val="0"/>
        <w:kinsoku/>
        <w:wordWrap/>
        <w:topLinePunct w:val="0"/>
        <w:autoSpaceDN/>
        <w:bidi w:val="0"/>
        <w:snapToGrid w:val="0"/>
        <w:spacing w:beforeAutospacing="0" w:afterAutospacing="0" w:line="600" w:lineRule="exact"/>
        <w:ind w:left="0" w:leftChars="0" w:firstLine="0" w:firstLineChars="0"/>
        <w:jc w:val="center"/>
        <w:rPr>
          <w:rFonts w:hint="eastAsia" w:ascii="宋体" w:hAnsi="宋体" w:eastAsia="宋体" w:cs="宋体"/>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佳木斯市</w:t>
      </w:r>
      <w:r>
        <w:rPr>
          <w:rFonts w:hint="eastAsia" w:ascii="宋体" w:hAnsi="宋体" w:eastAsia="宋体" w:cs="宋体"/>
          <w:b/>
          <w:bCs/>
          <w:color w:val="000000" w:themeColor="text1"/>
          <w:sz w:val="44"/>
          <w:szCs w:val="44"/>
          <w:highlight w:val="none"/>
          <w:lang w:val="en-US" w:eastAsia="zh-CN"/>
          <w14:textFill>
            <w14:solidFill>
              <w14:schemeClr w14:val="tx1"/>
            </w14:solidFill>
          </w14:textFill>
        </w:rPr>
        <w:t>东风区</w:t>
      </w:r>
      <w:r>
        <w:rPr>
          <w:rFonts w:hint="eastAsia" w:ascii="宋体" w:hAnsi="宋体" w:eastAsia="宋体" w:cs="宋体"/>
          <w:b/>
          <w:bCs/>
          <w:color w:val="000000" w:themeColor="text1"/>
          <w:sz w:val="44"/>
          <w:szCs w:val="44"/>
          <w:highlight w:val="none"/>
          <w14:textFill>
            <w14:solidFill>
              <w14:schemeClr w14:val="tx1"/>
            </w14:solidFill>
          </w14:textFill>
        </w:rPr>
        <w:t>国民经济和社会发展</w:t>
      </w:r>
    </w:p>
    <w:p w14:paraId="7DAEAE49">
      <w:pPr>
        <w:keepNext w:val="0"/>
        <w:keepLines w:val="0"/>
        <w:pageBreakBefore w:val="0"/>
        <w:widowControl w:val="0"/>
        <w:kinsoku/>
        <w:wordWrap/>
        <w:topLinePunct w:val="0"/>
        <w:autoSpaceDN/>
        <w:bidi w:val="0"/>
        <w:snapToGrid w:val="0"/>
        <w:spacing w:beforeAutospacing="0" w:afterAutospacing="0" w:line="600" w:lineRule="exact"/>
        <w:ind w:left="0" w:leftChars="0" w:firstLine="0" w:firstLineChars="0"/>
        <w:jc w:val="center"/>
        <w:rPr>
          <w:rFonts w:hint="eastAsia" w:ascii="宋体" w:hAnsi="宋体" w:eastAsia="宋体" w:cs="宋体"/>
          <w:b/>
          <w:bCs/>
          <w:color w:val="000000" w:themeColor="text1"/>
          <w:sz w:val="44"/>
          <w:szCs w:val="44"/>
          <w:highlight w:val="none"/>
          <w:lang w:eastAsia="zh-CN"/>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第十五个五年规划纲要</w:t>
      </w:r>
    </w:p>
    <w:p w14:paraId="6264DA2C">
      <w:pPr>
        <w:keepNext w:val="0"/>
        <w:keepLines w:val="0"/>
        <w:pageBreakBefore w:val="0"/>
        <w:widowControl w:val="0"/>
        <w:kinsoku/>
        <w:wordWrap/>
        <w:topLinePunct w:val="0"/>
        <w:autoSpaceDN/>
        <w:bidi w:val="0"/>
        <w:snapToGrid w:val="0"/>
        <w:spacing w:beforeAutospacing="0" w:afterAutospacing="0" w:line="600" w:lineRule="exact"/>
        <w:ind w:left="0" w:leftChars="0" w:firstLine="0" w:firstLineChars="0"/>
        <w:jc w:val="both"/>
        <w:rPr>
          <w:rFonts w:hint="eastAsia" w:ascii="宋体" w:hAnsi="宋体" w:eastAsia="宋体" w:cs="宋体"/>
          <w:b/>
          <w:bCs/>
          <w:color w:val="000000" w:themeColor="text1"/>
          <w:sz w:val="44"/>
          <w:szCs w:val="44"/>
          <w:highlight w:val="none"/>
          <w14:textFill>
            <w14:solidFill>
              <w14:schemeClr w14:val="tx1"/>
            </w14:solidFill>
          </w14:textFill>
        </w:rPr>
      </w:pPr>
    </w:p>
    <w:p w14:paraId="35FF8A60">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“十五五”时期，是我国全面建成社会主义现代化强国、实现第二个百年奋斗目标的关键</w:t>
      </w:r>
      <w:r>
        <w:rPr>
          <w:rFonts w:hint="eastAsia" w:ascii="仿宋" w:hAnsi="仿宋" w:eastAsia="仿宋" w:cs="仿宋"/>
          <w:color w:val="000000" w:themeColor="text1"/>
          <w:highlight w:val="none"/>
          <w:lang w:val="en-US" w:eastAsia="zh-CN"/>
          <w14:textFill>
            <w14:solidFill>
              <w14:schemeClr w14:val="tx1"/>
            </w14:solidFill>
          </w14:textFill>
        </w:rPr>
        <w:t>时</w:t>
      </w:r>
      <w:r>
        <w:rPr>
          <w:rFonts w:hint="eastAsia" w:ascii="仿宋" w:hAnsi="仿宋" w:eastAsia="仿宋" w:cs="仿宋"/>
          <w:color w:val="000000" w:themeColor="text1"/>
          <w:highlight w:val="none"/>
          <w14:textFill>
            <w14:solidFill>
              <w14:schemeClr w14:val="tx1"/>
            </w14:solidFill>
          </w14:textFill>
        </w:rPr>
        <w:t>期，是黑龙江省加快全面振兴全方位振兴、构建现代化产业体系的攻坚突破期，是佳木斯市建设现代化区域中心城市、打造我省东部重要增长极的战略窗口期。作为佳木斯市的重要组成部分，东风区迈入了厚积薄发、转型升级、跨越赶超的新阶段。科学编制并有效实施《东风区国民经济和社会发展第十五个五年规划纲要》，对于深刻把握新发展阶段、完整准确全面贯彻新发展理念、主动服务和融入新发展格局，推动东风区经济社会实现更高质量、更有效率、更加公平、更可持续、更为安全的发展，具有重大而深远的意义。本规划依据国家、黑龙江省及佳木斯市的战略部署，旨在明确“十五五”时期东风区国民经济和社会发展的指导思想、发展目标、重点任务与保障措施。规划期定为2026年至2030年。</w:t>
      </w:r>
    </w:p>
    <w:p w14:paraId="02F2B866">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eastAsia" w:ascii="黑体" w:hAnsi="黑体" w:eastAsia="黑体" w:cs="黑体"/>
          <w:color w:val="000000" w:themeColor="text1"/>
          <w:highlight w:val="none"/>
          <w:lang w:eastAsia="zh"/>
          <w14:textFill>
            <w14:solidFill>
              <w14:schemeClr w14:val="tx1"/>
            </w14:solidFill>
          </w14:textFill>
          <w:woUserID w:val="1"/>
        </w:rPr>
      </w:pPr>
      <w:bookmarkStart w:id="5" w:name="_Toc32138"/>
      <w:r>
        <w:rPr>
          <w:rFonts w:hint="eastAsia" w:ascii="黑体" w:hAnsi="黑体" w:eastAsia="黑体" w:cs="黑体"/>
          <w:color w:val="000000" w:themeColor="text1"/>
          <w:highlight w:val="none"/>
          <w:lang w:eastAsia="zh"/>
          <w14:textFill>
            <w14:solidFill>
              <w14:schemeClr w14:val="tx1"/>
            </w14:solidFill>
          </w14:textFill>
          <w:woUserID w:val="1"/>
        </w:rPr>
        <w:t>第一</w:t>
      </w:r>
      <w:r>
        <w:rPr>
          <w:rFonts w:hint="eastAsia" w:ascii="黑体" w:hAnsi="黑体" w:eastAsia="黑体" w:cs="黑体"/>
          <w:color w:val="000000" w:themeColor="text1"/>
          <w:highlight w:val="none"/>
          <w:lang w:eastAsia="zh"/>
          <w14:textFill>
            <w14:solidFill>
              <w14:schemeClr w14:val="tx1"/>
            </w14:solidFill>
          </w14:textFill>
          <w:woUserID w:val="3"/>
        </w:rPr>
        <w:t>篇</w:t>
      </w:r>
      <w:r>
        <w:rPr>
          <w:rFonts w:hint="eastAsia" w:ascii="黑体" w:hAnsi="黑体" w:eastAsia="黑体" w:cs="黑体"/>
          <w:color w:val="000000" w:themeColor="text1"/>
          <w:highlight w:val="none"/>
          <w:lang w:eastAsia="zh"/>
          <w14:textFill>
            <w14:solidFill>
              <w14:schemeClr w14:val="tx1"/>
            </w14:solidFill>
          </w14:textFill>
          <w:woUserID w:val="1"/>
        </w:rPr>
        <w:t xml:space="preserve"> “十五五”时期是全面建设社会主义现代化东风区</w:t>
      </w:r>
    </w:p>
    <w:p w14:paraId="0020B2CC">
      <w:pPr>
        <w:pStyle w:val="2"/>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eastAsia" w:ascii="黑体" w:hAnsi="黑体" w:eastAsia="黑体" w:cs="黑体"/>
          <w:color w:val="000000" w:themeColor="text1"/>
          <w:highlight w:val="none"/>
          <w:lang w:eastAsia="zh"/>
          <w14:textFill>
            <w14:solidFill>
              <w14:schemeClr w14:val="tx1"/>
            </w14:solidFill>
          </w14:textFill>
          <w:woUserID w:val="2"/>
        </w:rPr>
      </w:pPr>
      <w:r>
        <w:rPr>
          <w:rFonts w:hint="eastAsia" w:ascii="黑体" w:hAnsi="黑体" w:eastAsia="黑体" w:cs="黑体"/>
          <w:color w:val="000000" w:themeColor="text1"/>
          <w:highlight w:val="none"/>
          <w:lang w:eastAsia="zh"/>
          <w14:textFill>
            <w14:solidFill>
              <w14:schemeClr w14:val="tx1"/>
            </w14:solidFill>
          </w14:textFill>
          <w:woUserID w:val="1"/>
        </w:rPr>
        <w:t>的关键时期</w:t>
      </w:r>
      <w:bookmarkEnd w:id="5"/>
    </w:p>
    <w:p w14:paraId="4CE91722">
      <w:pPr>
        <w:pStyle w:val="3"/>
        <w:keepNext w:val="0"/>
        <w:keepLines w:val="0"/>
        <w:pageBreakBefore w:val="0"/>
        <w:widowControl w:val="0"/>
        <w:kinsoku/>
        <w:wordWrap/>
        <w:topLinePunct w:val="0"/>
        <w:autoSpaceDN/>
        <w:bidi w:val="0"/>
        <w:snapToGrid w:val="0"/>
        <w:spacing w:beforeAutospacing="0" w:afterAutospacing="0" w:line="600" w:lineRule="exact"/>
        <w:ind w:firstLine="640" w:firstLineChars="200"/>
        <w:jc w:val="both"/>
        <w:rPr>
          <w:rFonts w:hint="default" w:ascii="Times New Roman" w:hAnsi="Times New Roman" w:cs="Times New Roman"/>
          <w:color w:val="000000" w:themeColor="text1"/>
          <w:highlight w:val="none"/>
          <w:lang w:eastAsia="zh"/>
          <w14:textFill>
            <w14:solidFill>
              <w14:schemeClr w14:val="tx1"/>
            </w14:solidFill>
          </w14:textFill>
          <w:woUserID w:val="3"/>
        </w:rPr>
      </w:pPr>
      <w:bookmarkStart w:id="6" w:name="_Toc13966"/>
      <w:r>
        <w:rPr>
          <w:rFonts w:hint="eastAsia" w:ascii="仿宋" w:hAnsi="仿宋" w:eastAsia="仿宋" w:cs="仿宋"/>
          <w:b w:val="0"/>
          <w:bCs/>
          <w:color w:val="000000" w:themeColor="text1"/>
          <w:highlight w:val="none"/>
          <w:lang w:eastAsia="zh"/>
          <w14:textFill>
            <w14:solidFill>
              <w14:schemeClr w14:val="tx1"/>
            </w14:solidFill>
          </w14:textFill>
          <w:woUserID w:val="3"/>
        </w:rPr>
        <w:t>“十四五”时期，面对错综复杂的宏观环境和艰巨繁重的改革发展稳定任务，</w:t>
      </w:r>
      <w:r>
        <w:rPr>
          <w:rFonts w:hint="eastAsia" w:ascii="仿宋" w:hAnsi="仿宋" w:eastAsia="仿宋" w:cs="仿宋"/>
          <w:b w:val="0"/>
          <w:bCs/>
          <w:color w:val="000000" w:themeColor="text1"/>
          <w:highlight w:val="none"/>
          <w:lang w:val="en-US" w:eastAsia="zh-CN"/>
          <w14:textFill>
            <w14:solidFill>
              <w14:schemeClr w14:val="tx1"/>
            </w14:solidFill>
          </w14:textFill>
          <w:woUserID w:val="3"/>
        </w:rPr>
        <w:t>区</w:t>
      </w:r>
      <w:r>
        <w:rPr>
          <w:rFonts w:hint="eastAsia" w:ascii="仿宋" w:hAnsi="仿宋" w:eastAsia="仿宋" w:cs="仿宋"/>
          <w:b w:val="0"/>
          <w:bCs/>
          <w:color w:val="000000" w:themeColor="text1"/>
          <w:highlight w:val="none"/>
          <w:lang w:eastAsia="zh"/>
          <w14:textFill>
            <w14:solidFill>
              <w14:schemeClr w14:val="tx1"/>
            </w14:solidFill>
          </w14:textFill>
          <w:woUserID w:val="3"/>
        </w:rPr>
        <w:t>委</w:t>
      </w:r>
      <w:r>
        <w:rPr>
          <w:rFonts w:hint="eastAsia" w:ascii="仿宋" w:hAnsi="仿宋" w:eastAsia="仿宋" w:cs="仿宋"/>
          <w:b w:val="0"/>
          <w:bCs/>
          <w:color w:val="000000" w:themeColor="text1"/>
          <w:highlight w:val="none"/>
          <w:lang w:eastAsia="zh-CN"/>
          <w14:textFill>
            <w14:solidFill>
              <w14:schemeClr w14:val="tx1"/>
            </w14:solidFill>
          </w14:textFill>
          <w:woUserID w:val="3"/>
        </w:rPr>
        <w:t>、</w:t>
      </w:r>
      <w:r>
        <w:rPr>
          <w:rFonts w:hint="eastAsia" w:ascii="仿宋" w:hAnsi="仿宋" w:eastAsia="仿宋" w:cs="仿宋"/>
          <w:b w:val="0"/>
          <w:bCs/>
          <w:color w:val="000000" w:themeColor="text1"/>
          <w:highlight w:val="none"/>
          <w:lang w:val="en-US" w:eastAsia="zh-CN"/>
          <w14:textFill>
            <w14:solidFill>
              <w14:schemeClr w14:val="tx1"/>
            </w14:solidFill>
          </w14:textFill>
          <w:woUserID w:val="3"/>
        </w:rPr>
        <w:t>区政府</w:t>
      </w:r>
      <w:r>
        <w:rPr>
          <w:rFonts w:hint="eastAsia" w:ascii="仿宋" w:hAnsi="仿宋" w:eastAsia="仿宋" w:cs="仿宋"/>
          <w:b w:val="0"/>
          <w:bCs/>
          <w:color w:val="000000" w:themeColor="text1"/>
          <w:highlight w:val="none"/>
          <w:lang w:eastAsia="zh"/>
          <w14:textFill>
            <w14:solidFill>
              <w14:schemeClr w14:val="tx1"/>
            </w14:solidFill>
          </w14:textFill>
          <w:woUserID w:val="3"/>
        </w:rPr>
        <w:t>坚持以习近平新时代中国特色社会主义思想为指导，全面贯彻落实习近平总书记重要讲话重要指示精神、党中央</w:t>
      </w:r>
      <w:r>
        <w:rPr>
          <w:rFonts w:hint="eastAsia" w:ascii="仿宋" w:hAnsi="仿宋" w:eastAsia="仿宋" w:cs="仿宋"/>
          <w:b w:val="0"/>
          <w:bCs/>
          <w:color w:val="000000" w:themeColor="text1"/>
          <w:highlight w:val="none"/>
          <w:lang w:eastAsia="zh-CN"/>
          <w14:textFill>
            <w14:solidFill>
              <w14:schemeClr w14:val="tx1"/>
            </w14:solidFill>
          </w14:textFill>
          <w:woUserID w:val="3"/>
        </w:rPr>
        <w:t>、</w:t>
      </w:r>
      <w:r>
        <w:rPr>
          <w:rFonts w:hint="eastAsia" w:ascii="仿宋" w:hAnsi="仿宋" w:eastAsia="仿宋" w:cs="仿宋"/>
          <w:b w:val="0"/>
          <w:bCs/>
          <w:color w:val="000000" w:themeColor="text1"/>
          <w:highlight w:val="none"/>
          <w:lang w:val="en-US" w:eastAsia="zh-CN"/>
          <w14:textFill>
            <w14:solidFill>
              <w14:schemeClr w14:val="tx1"/>
            </w14:solidFill>
          </w14:textFill>
          <w:woUserID w:val="3"/>
        </w:rPr>
        <w:t>国务院</w:t>
      </w:r>
      <w:r>
        <w:rPr>
          <w:rFonts w:hint="eastAsia" w:ascii="仿宋" w:hAnsi="仿宋" w:eastAsia="仿宋" w:cs="仿宋"/>
          <w:b w:val="0"/>
          <w:bCs/>
          <w:color w:val="000000" w:themeColor="text1"/>
          <w:highlight w:val="none"/>
          <w:lang w:eastAsia="zh"/>
          <w14:textFill>
            <w14:solidFill>
              <w14:schemeClr w14:val="tx1"/>
            </w14:solidFill>
          </w14:textFill>
          <w:woUserID w:val="3"/>
        </w:rPr>
        <w:t>决策部署和省委</w:t>
      </w:r>
      <w:r>
        <w:rPr>
          <w:rFonts w:hint="eastAsia" w:ascii="仿宋" w:hAnsi="仿宋" w:eastAsia="仿宋" w:cs="仿宋"/>
          <w:b w:val="0"/>
          <w:bCs/>
          <w:color w:val="000000" w:themeColor="text1"/>
          <w:highlight w:val="none"/>
          <w:lang w:val="en-US" w:eastAsia="zh-CN"/>
          <w14:textFill>
            <w14:solidFill>
              <w14:schemeClr w14:val="tx1"/>
            </w14:solidFill>
          </w14:textFill>
          <w:woUserID w:val="3"/>
        </w:rPr>
        <w:t>省政府</w:t>
      </w:r>
      <w:r>
        <w:rPr>
          <w:rFonts w:hint="eastAsia" w:ascii="仿宋" w:hAnsi="仿宋" w:eastAsia="仿宋" w:cs="仿宋"/>
          <w:b w:val="0"/>
          <w:bCs/>
          <w:color w:val="000000" w:themeColor="text1"/>
          <w:highlight w:val="none"/>
          <w:lang w:eastAsia="zh-CN"/>
          <w14:textFill>
            <w14:solidFill>
              <w14:schemeClr w14:val="tx1"/>
            </w14:solidFill>
          </w14:textFill>
          <w:woUserID w:val="3"/>
        </w:rPr>
        <w:t>、</w:t>
      </w:r>
      <w:r>
        <w:rPr>
          <w:rFonts w:hint="eastAsia" w:ascii="仿宋" w:hAnsi="仿宋" w:eastAsia="仿宋" w:cs="仿宋"/>
          <w:b w:val="0"/>
          <w:bCs/>
          <w:color w:val="000000" w:themeColor="text1"/>
          <w:highlight w:val="none"/>
          <w:lang w:val="en-US" w:eastAsia="zh-CN"/>
          <w14:textFill>
            <w14:solidFill>
              <w14:schemeClr w14:val="tx1"/>
            </w14:solidFill>
          </w14:textFill>
          <w:woUserID w:val="3"/>
        </w:rPr>
        <w:t>市委市政府</w:t>
      </w:r>
      <w:r>
        <w:rPr>
          <w:rFonts w:hint="eastAsia" w:ascii="仿宋" w:hAnsi="仿宋" w:eastAsia="仿宋" w:cs="仿宋"/>
          <w:b w:val="0"/>
          <w:bCs/>
          <w:color w:val="000000" w:themeColor="text1"/>
          <w:highlight w:val="none"/>
          <w:lang w:eastAsia="zh"/>
          <w14:textFill>
            <w14:solidFill>
              <w14:schemeClr w14:val="tx1"/>
            </w14:solidFill>
          </w14:textFill>
          <w:woUserID w:val="3"/>
        </w:rPr>
        <w:t>工作要求，团结带领全</w:t>
      </w:r>
      <w:r>
        <w:rPr>
          <w:rFonts w:hint="eastAsia" w:ascii="仿宋" w:hAnsi="仿宋" w:eastAsia="仿宋" w:cs="仿宋"/>
          <w:b w:val="0"/>
          <w:bCs/>
          <w:color w:val="000000" w:themeColor="text1"/>
          <w:highlight w:val="none"/>
          <w:lang w:val="en-US" w:eastAsia="zh-CN"/>
          <w14:textFill>
            <w14:solidFill>
              <w14:schemeClr w14:val="tx1"/>
            </w14:solidFill>
          </w14:textFill>
          <w:woUserID w:val="3"/>
        </w:rPr>
        <w:t>区</w:t>
      </w:r>
      <w:r>
        <w:rPr>
          <w:rFonts w:hint="eastAsia" w:ascii="仿宋" w:hAnsi="仿宋" w:eastAsia="仿宋" w:cs="仿宋"/>
          <w:b w:val="0"/>
          <w:bCs/>
          <w:color w:val="000000" w:themeColor="text1"/>
          <w:highlight w:val="none"/>
          <w:lang w:eastAsia="zh"/>
          <w14:textFill>
            <w14:solidFill>
              <w14:schemeClr w14:val="tx1"/>
            </w14:solidFill>
          </w14:textFill>
          <w:woUserID w:val="3"/>
        </w:rPr>
        <w:t>广大干部群众牢记嘱托、感恩奋进，拼搏实干、担当作为，经受住世纪疫情严重冲击，有效应对各类风险挑战，高质量振兴发展取得明显成效，中国式现代化</w:t>
      </w:r>
      <w:r>
        <w:rPr>
          <w:rFonts w:hint="eastAsia" w:ascii="仿宋" w:hAnsi="仿宋" w:eastAsia="仿宋" w:cs="仿宋"/>
          <w:b w:val="0"/>
          <w:bCs/>
          <w:color w:val="000000" w:themeColor="text1"/>
          <w:highlight w:val="none"/>
          <w:lang w:val="en-US" w:eastAsia="zh-CN"/>
          <w14:textFill>
            <w14:solidFill>
              <w14:schemeClr w14:val="tx1"/>
            </w14:solidFill>
          </w14:textFill>
          <w:woUserID w:val="3"/>
        </w:rPr>
        <w:t>东风区</w:t>
      </w:r>
      <w:r>
        <w:rPr>
          <w:rFonts w:hint="eastAsia" w:ascii="仿宋" w:hAnsi="仿宋" w:eastAsia="仿宋" w:cs="仿宋"/>
          <w:b w:val="0"/>
          <w:bCs/>
          <w:color w:val="000000" w:themeColor="text1"/>
          <w:highlight w:val="none"/>
          <w:lang w:eastAsia="zh"/>
          <w14:textFill>
            <w14:solidFill>
              <w14:schemeClr w14:val="tx1"/>
            </w14:solidFill>
          </w14:textFill>
          <w:woUserID w:val="3"/>
        </w:rPr>
        <w:t>实践迈出新的坚实步伐</w:t>
      </w:r>
      <w:r>
        <w:rPr>
          <w:rFonts w:hint="eastAsia" w:ascii="仿宋" w:hAnsi="仿宋" w:eastAsia="仿宋" w:cs="仿宋"/>
          <w:b w:val="0"/>
          <w:bCs/>
          <w:color w:val="000000" w:themeColor="text1"/>
          <w:highlight w:val="none"/>
          <w:lang w:eastAsia="zh-CN"/>
          <w14:textFill>
            <w14:solidFill>
              <w14:schemeClr w14:val="tx1"/>
            </w14:solidFill>
          </w14:textFill>
          <w:woUserID w:val="3"/>
        </w:rPr>
        <w:t>，</w:t>
      </w:r>
      <w:r>
        <w:rPr>
          <w:rFonts w:hint="eastAsia" w:ascii="仿宋" w:hAnsi="仿宋" w:eastAsia="仿宋" w:cs="仿宋"/>
          <w:b w:val="0"/>
          <w:bCs/>
          <w:color w:val="000000" w:themeColor="text1"/>
          <w:highlight w:val="none"/>
          <w:lang w:eastAsia="zh"/>
          <w14:textFill>
            <w14:solidFill>
              <w14:schemeClr w14:val="tx1"/>
            </w14:solidFill>
          </w14:textFill>
          <w:woUserID w:val="3"/>
        </w:rPr>
        <w:t>为“十五五”时期发展奠定了坚实基础。</w:t>
      </w:r>
    </w:p>
    <w:p w14:paraId="35FF8A62">
      <w:pPr>
        <w:pStyle w:val="3"/>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eastAsia" w:ascii="楷体" w:hAnsi="楷体" w:eastAsia="楷体" w:cs="楷体"/>
          <w:b/>
          <w:bCs/>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highlight w:val="none"/>
          <w:lang w:eastAsia="zh"/>
          <w14:textFill>
            <w14:solidFill>
              <w14:schemeClr w14:val="tx1"/>
            </w14:solidFill>
          </w14:textFill>
          <w:woUserID w:val="3"/>
        </w:rPr>
        <w:t>第一章 “十四五”时期</w:t>
      </w:r>
      <w:r>
        <w:rPr>
          <w:rFonts w:hint="eastAsia" w:ascii="楷体" w:hAnsi="楷体" w:eastAsia="楷体" w:cs="楷体"/>
          <w:b/>
          <w:bCs/>
          <w:color w:val="000000" w:themeColor="text1"/>
          <w:sz w:val="32"/>
          <w:szCs w:val="32"/>
          <w:highlight w:val="none"/>
          <w14:textFill>
            <w14:solidFill>
              <w14:schemeClr w14:val="tx1"/>
            </w14:solidFill>
          </w14:textFill>
        </w:rPr>
        <w:t>我区经济社会发展取得重大</w:t>
      </w:r>
      <w:r>
        <w:rPr>
          <w:rFonts w:hint="eastAsia" w:ascii="楷体" w:hAnsi="楷体" w:eastAsia="楷体" w:cs="楷体"/>
          <w:b/>
          <w:bCs/>
          <w:color w:val="000000" w:themeColor="text1"/>
          <w:sz w:val="32"/>
          <w:szCs w:val="32"/>
          <w:highlight w:val="none"/>
          <w:lang w:val="en-US" w:eastAsia="zh-CN"/>
          <w14:textFill>
            <w14:solidFill>
              <w14:schemeClr w14:val="tx1"/>
            </w14:solidFill>
          </w14:textFill>
        </w:rPr>
        <w:t>成就</w:t>
      </w:r>
      <w:bookmarkEnd w:id="6"/>
    </w:p>
    <w:p w14:paraId="6FC49735">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过去五年，全区经济社会发展稳中有进，较好地完成了“十四五”规划纲要提出的主要目标任务，为新时代社会主义现代化东风区建设新征程奠定坚实基础。</w:t>
      </w:r>
    </w:p>
    <w:p w14:paraId="42E7FB9F">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综合经济实力稳步提升。</w:t>
      </w:r>
      <w:r>
        <w:rPr>
          <w:rFonts w:hint="eastAsia" w:ascii="仿宋" w:hAnsi="仿宋" w:eastAsia="仿宋" w:cs="仿宋"/>
          <w:color w:val="000000" w:themeColor="text1"/>
          <w:highlight w:val="none"/>
          <w:lang w:val="en-US" w:eastAsia="zh-CN"/>
          <w14:textFill>
            <w14:solidFill>
              <w14:schemeClr w14:val="tx1"/>
            </w14:solidFill>
          </w14:textFill>
        </w:rPr>
        <w:t>地区生产总值保持中高速增长，经济运行处在合理区间，主要经济指标符合预期，经济结构持续优化升级，发展的协调性和可持续性进一步增强。坚决扛牢粮食安全政治责任，现代农业基础不断夯实，全面落实藏粮于地、藏粮于技战略，粮食综合生产能力保持稳定，重要农产品供给保障有力。农业基础设施和科技装备水平进一步提升，为乡村全面振兴奠定了坚实产业基础。工业转型升级步伐加快，大力推进传统产业技术改造和智能化升级，推动产业链向中高端延伸，积极培育发展战略性新兴产业，新旧动能转换取得积极进展。现代服务业规模持续扩大，对经济增长的贡献率稳步提高，商贸物流体系日益健全，专业市场集聚辐射能力增强，电子商务等数字经济新业态发展活跃，线上线下融合加深，消费市场活力不断释放，服务业结构持续优化，对就业和创新的带动作用更加突出。</w:t>
      </w:r>
    </w:p>
    <w:p w14:paraId="165A8395">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b w:val="0"/>
          <w:bCs w:val="0"/>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科技创新构筑发展强引擎。</w:t>
      </w:r>
      <w:r>
        <w:rPr>
          <w:rFonts w:hint="eastAsia" w:ascii="仿宋" w:hAnsi="仿宋" w:eastAsia="仿宋" w:cs="仿宋"/>
          <w:b w:val="0"/>
          <w:bCs w:val="0"/>
          <w:color w:val="000000" w:themeColor="text1"/>
          <w:highlight w:val="none"/>
          <w:lang w:val="en-US" w:eastAsia="zh-CN"/>
          <w14:textFill>
            <w14:solidFill>
              <w14:schemeClr w14:val="tx1"/>
            </w14:solidFill>
          </w14:textFill>
        </w:rPr>
        <w:t>聚焦企业创新主体地位，实施科技型企业培育计划，高新技术企业、科技型中小企业分别增至13家、23家。引导企业加大研发投入，建设了拓驰科技、佳煤机、一达农业等科创平台、企业技术中心、工程研究中心等省级科创研发平台，企业自主创新能力显著增强。完善科技成果转化服务体系，畅通技术需求与供给对接渠道，实施了一批关键核心技术攻关项目，在高端装备、新材料、生物医药等领域取得重要突破，累计转化科技成果89项，其中重大科技成果转化项目12项。深化科技体制机制改革，落实研发费用加计扣除等普惠性政策，激发科研人员创新活力。加强知识产权创造、保护和运用，营造了尊重知识、崇尚创新的良好社会氛围。</w:t>
      </w:r>
    </w:p>
    <w:p w14:paraId="62F18753">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b w:val="0"/>
          <w:bCs w:val="0"/>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乡村全面振兴扎实推进。</w:t>
      </w:r>
      <w:r>
        <w:rPr>
          <w:rFonts w:hint="eastAsia" w:ascii="仿宋" w:hAnsi="仿宋" w:eastAsia="仿宋" w:cs="仿宋"/>
          <w:b w:val="0"/>
          <w:bCs w:val="0"/>
          <w:color w:val="000000" w:themeColor="text1"/>
          <w:highlight w:val="none"/>
          <w:lang w:val="en-US" w:eastAsia="zh-CN"/>
          <w14:textFill>
            <w14:solidFill>
              <w14:schemeClr w14:val="tx1"/>
            </w14:solidFill>
          </w14:textFill>
        </w:rPr>
        <w:t>深入落实千万吨粮食增产计划，黑土地保护机制更加健全、运行更加高效，累计建设高标准农田1万亩，粮油作物大面积单产提升行动取得显著成效，粮食综合生产能力突破1.04亿斤，粮食生产实现“二十二连丰”。科技农业、绿色农业、质量农业、品牌农业加快发展，崖州湾国家实验室东风区育种实验站正式落户，全区农产品质量安全例行监测合格率持续稳定在99.6%以上。巩固拓展脱贫攻坚成果同乡村振兴有效衔接，农村人居环境水平持续提升，96%以上村庄实现干净整洁，生活垃圾收转运体系全覆盖，饮水安全覆盖人口率达到98%以上，牢牢守住了不发生规模性返贫致贫底线。</w:t>
      </w:r>
    </w:p>
    <w:p w14:paraId="22FE0A99">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城乡建设展现宜居新貌。</w:t>
      </w:r>
      <w:r>
        <w:rPr>
          <w:rFonts w:hint="eastAsia" w:ascii="仿宋" w:hAnsi="仿宋" w:eastAsia="仿宋" w:cs="仿宋"/>
          <w:color w:val="000000" w:themeColor="text1"/>
          <w:highlight w:val="none"/>
          <w:lang w:val="en-US" w:eastAsia="zh-CN"/>
          <w14:textFill>
            <w14:solidFill>
              <w14:schemeClr w14:val="tx1"/>
            </w14:solidFill>
          </w14:textFill>
        </w:rPr>
        <w:t>全面推进农村公路和危桥改造工程，全覆盖排查整治道路交通、建筑施工、城镇燃气等重点领域，城市安全得到有效保障。完成房屋安全隐患排查整治工作，累计排查城市房屋3818栋和农村房屋6277栋，累计改造老旧小区28个、232栋楼，惠及16049户，群众居住环境得到明显改善。累计为45450户次居民发放租赁补贴3966.77万元，为900余户困难家庭精准分配公租房房源，切实解决了困难群体的住房难题。新建小游园10个，总占地面积2.59万平方米，配套建设休闲座椅、健身器材、景观照明等设施，“口袋公园”、社区公园星罗棋布，城市绿道串联成网，人均公园绿地面积不断增加，“推窗见绿、出门入园”成为更多市民的生活常态。</w:t>
      </w:r>
    </w:p>
    <w:p w14:paraId="4708BB96">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发展成果增进百姓福祉。</w:t>
      </w:r>
      <w:r>
        <w:rPr>
          <w:rFonts w:hint="eastAsia" w:ascii="仿宋" w:hAnsi="仿宋" w:eastAsia="仿宋" w:cs="仿宋"/>
          <w:color w:val="000000" w:themeColor="text1"/>
          <w:highlight w:val="none"/>
          <w:lang w:val="en-US" w:eastAsia="zh-CN"/>
          <w14:textFill>
            <w14:solidFill>
              <w14:schemeClr w14:val="tx1"/>
            </w14:solidFill>
          </w14:textFill>
        </w:rPr>
        <w:t>始终坚持以人民为中心的发展思想，将保障和改善民生作为一切工作的出发点和落脚点，努力让发展成果更多更公平惠及全体人民，财政民生支出占总支出80%以上。实施更加积极的就业政策，重点群体就业得到有效保障，累计新增城镇就业1.26万人，居民人均可支配收入与经济增长保持同步，共同富裕的根基不断夯实。教育、医疗、养老、文化等社会事业全面发展。新建、改扩建一批中小学和幼儿园，学前教育普及普惠水平持续提高，学前毛入园率达到91%，普惠率达到100%。教育均衡化水平不断提升；医疗卫生服务体系不断完善，建成国医馆、省级互联网+中医院，基层医疗服务能力显著增强；多层次养老服务体系加快建设，老年友好型社会建设稳步推进，</w:t>
      </w:r>
      <w:r>
        <w:rPr>
          <w:rFonts w:hint="eastAsia" w:ascii="仿宋" w:hAnsi="仿宋" w:eastAsia="仿宋" w:cs="仿宋"/>
          <w:color w:val="000000" w:themeColor="text1"/>
          <w:highlight w:val="none"/>
          <w:u w:val="none"/>
          <w:lang w:val="en-US" w:eastAsia="zh-CN"/>
          <w14:textFill>
            <w14:solidFill>
              <w14:schemeClr w14:val="tx1"/>
            </w14:solidFill>
          </w14:textFill>
        </w:rPr>
        <w:t>养老服务水平稳步提升，建成6处居家和社区养老服务场所，5处助老餐厅，推广助老餐厅连锁品牌4家。</w:t>
      </w:r>
      <w:r>
        <w:rPr>
          <w:rFonts w:hint="eastAsia" w:ascii="仿宋" w:hAnsi="仿宋" w:eastAsia="仿宋" w:cs="仿宋"/>
          <w:color w:val="000000" w:themeColor="text1"/>
          <w:highlight w:val="none"/>
          <w:lang w:val="en-US" w:eastAsia="zh-CN"/>
          <w14:textFill>
            <w14:solidFill>
              <w14:schemeClr w14:val="tx1"/>
            </w14:solidFill>
          </w14:textFill>
        </w:rPr>
        <w:t>基本养老保险、医疗保险参保率稳定在较高水平，保障待遇稳步提高。社会救助、社会福利制度更加健全，对困难群体的兜底保障坚实有力，</w:t>
      </w:r>
      <w:r>
        <w:rPr>
          <w:rFonts w:hint="eastAsia" w:ascii="仿宋" w:hAnsi="仿宋" w:eastAsia="仿宋" w:cs="仿宋"/>
          <w:color w:val="000000" w:themeColor="text1"/>
          <w:highlight w:val="none"/>
          <w:u w:val="none"/>
          <w:lang w:val="en-US" w:eastAsia="zh-CN"/>
          <w14:textFill>
            <w14:solidFill>
              <w14:schemeClr w14:val="tx1"/>
            </w14:solidFill>
          </w14:textFill>
        </w:rPr>
        <w:t>累计发放救助资金29.85万人次，1.8亿元，</w:t>
      </w:r>
      <w:r>
        <w:rPr>
          <w:rFonts w:hint="eastAsia" w:ascii="仿宋" w:hAnsi="仿宋" w:eastAsia="仿宋" w:cs="仿宋"/>
          <w:color w:val="000000" w:themeColor="text1"/>
          <w:highlight w:val="none"/>
          <w:lang w:val="en-US" w:eastAsia="zh-CN"/>
          <w14:textFill>
            <w14:solidFill>
              <w14:schemeClr w14:val="tx1"/>
            </w14:solidFill>
          </w14:textFill>
        </w:rPr>
        <w:t>人民生活安康底线的“网底”越织越密。平安建设、法治建设深入推进，安全生产形势持续稳定向好，矛盾纠纷化解机制更加完善，为人民群众幸福生活创造了安定有序的社会环境。</w:t>
      </w:r>
    </w:p>
    <w:p w14:paraId="7B46ACB8">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改革开放激发内生动力。</w:t>
      </w:r>
      <w:r>
        <w:rPr>
          <w:rFonts w:hint="eastAsia" w:ascii="仿宋" w:hAnsi="仿宋" w:eastAsia="仿宋" w:cs="仿宋"/>
          <w:color w:val="000000" w:themeColor="text1"/>
          <w:highlight w:val="none"/>
          <w:lang w:val="en-US" w:eastAsia="zh"/>
          <w14:textFill>
            <w14:solidFill>
              <w14:schemeClr w14:val="tx1"/>
            </w14:solidFill>
          </w14:textFill>
        </w:rPr>
        <w:t>坚持以开放促改革，以改革促发展，体制机制改革全面推进，开放合作阔步向前。持续优化营商环境，773项服务事项“进厅入网”率、非涉密类政务服务事项网上可办率全部达到100%。创新开展12个“信易+”场景应用，形成“人人皆诚信”的共识共为。积极培育外贸新动能，大力发展跨境电商、市场采购贸易等新业态新模式，组织企业参加哈洽会、进博会、广交会、中俄博览会等重点展会，外贸进出口总额年均增长57.</w:t>
      </w:r>
      <w:r>
        <w:rPr>
          <w:rFonts w:hint="eastAsia" w:ascii="仿宋" w:hAnsi="仿宋" w:eastAsia="仿宋" w:cs="仿宋"/>
          <w:color w:val="000000" w:themeColor="text1"/>
          <w:highlight w:val="none"/>
          <w:lang w:val="en-US" w:eastAsia="zh-CN"/>
          <w14:textFill>
            <w14:solidFill>
              <w14:schemeClr w14:val="tx1"/>
            </w14:solidFill>
          </w14:textFill>
        </w:rPr>
        <w:t>45</w:t>
      </w:r>
      <w:r>
        <w:rPr>
          <w:rFonts w:hint="eastAsia" w:ascii="仿宋" w:hAnsi="仿宋" w:eastAsia="仿宋" w:cs="仿宋"/>
          <w:color w:val="000000" w:themeColor="text1"/>
          <w:highlight w:val="none"/>
          <w:lang w:val="en-US" w:eastAsia="zh"/>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lang w:val="en-US" w:eastAsia="zh"/>
          <w14:textFill>
            <w14:solidFill>
              <w14:schemeClr w14:val="tx1"/>
            </w14:solidFill>
          </w14:textFill>
        </w:rPr>
        <w:t>对外开放形成全新局面，为全区经济社会发展注入了源源不断的生机与活力。</w:t>
      </w:r>
    </w:p>
    <w:p w14:paraId="2F4235D3">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生态建设筑牢绿色基底。</w:t>
      </w:r>
      <w:r>
        <w:rPr>
          <w:rFonts w:hint="eastAsia" w:ascii="仿宋" w:hAnsi="仿宋" w:eastAsia="仿宋" w:cs="仿宋"/>
          <w:color w:val="000000" w:themeColor="text1"/>
          <w:highlight w:val="none"/>
          <w:lang w:val="en-US" w:eastAsia="zh-CN"/>
          <w14:textFill>
            <w14:solidFill>
              <w14:schemeClr w14:val="tx1"/>
            </w14:solidFill>
          </w14:textFill>
        </w:rPr>
        <w:t>高标准打好蓝天、碧水、净土保卫战，生态宜居特色更加鲜明。秸秆禁烧连续7年实现“零火点”，秸秆综合利用率高于全市平均水平。深化农村面源污染治理，农药废弃物回收率达到100%。在全省首创矿山“生态修复+产业植入”模式，大堆丰矿山修复项目顺利实施。全面落实落细田长制、林长制、河湖长制，持续用力筑牢生态屏障，生态环境质量跃上新台阶，绿色已成为高质量发展的鲜明底色。</w:t>
      </w:r>
    </w:p>
    <w:p w14:paraId="0B458F01">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全面从严治党纵深发展。</w:t>
      </w:r>
      <w:r>
        <w:rPr>
          <w:rFonts w:hint="eastAsia" w:ascii="仿宋" w:hAnsi="仿宋" w:eastAsia="仿宋" w:cs="仿宋"/>
          <w:color w:val="000000" w:themeColor="text1"/>
          <w:highlight w:val="none"/>
          <w:lang w:val="en-US" w:eastAsia="zh-CN"/>
          <w14:textFill>
            <w14:solidFill>
              <w14:schemeClr w14:val="tx1"/>
            </w14:solidFill>
          </w14:textFill>
        </w:rPr>
        <w:t>坚持以党的政治建设为统领，扎实开展党内集中教育，推动学习贯彻习近平新时代中国特色社会主义思想走深走实。鲜明树立重实干重实绩的用人导向，大抓能力作风建设，干部干事创业精气神进一步提振。做实抓党建促乡村振兴、党建引领基层治理，各领域基层党组织全面进步、全面过硬。一以贯之正风肃纪反腐，严格落实中央八项规定及其实施细则精神，坚决纠治“四风”问题。深入开展专项整治，着力解决群众反映强烈的突出问题，推动党风政风和社会风气持续向好，大力弘扬求真务实、清正廉洁的新风正气。</w:t>
      </w:r>
    </w:p>
    <w:p w14:paraId="181236B3">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eastAsia="zh"/>
          <w14:textFill>
            <w14:solidFill>
              <w14:schemeClr w14:val="tx1"/>
            </w14:solidFill>
          </w14:textFill>
        </w:rPr>
      </w:pPr>
      <w:bookmarkStart w:id="7" w:name="_Toc15576"/>
      <w:r>
        <w:rPr>
          <w:rFonts w:hint="eastAsia" w:ascii="楷体" w:hAnsi="楷体" w:eastAsia="楷体" w:cs="楷体"/>
          <w:color w:val="000000" w:themeColor="text1"/>
          <w:highlight w:val="none"/>
          <w:lang w:eastAsia="zh"/>
          <w14:textFill>
            <w14:solidFill>
              <w14:schemeClr w14:val="tx1"/>
            </w14:solidFill>
          </w14:textFill>
        </w:rPr>
        <w:t xml:space="preserve">第二章 </w:t>
      </w:r>
      <w:r>
        <w:rPr>
          <w:rFonts w:hint="eastAsia" w:ascii="楷体" w:hAnsi="楷体" w:eastAsia="楷体" w:cs="楷体"/>
          <w:b/>
          <w:bCs/>
          <w:color w:val="000000" w:themeColor="text1"/>
          <w:sz w:val="32"/>
          <w:szCs w:val="32"/>
          <w:highlight w:val="none"/>
          <w:lang w:val="en-US" w:eastAsia="zh-CN"/>
          <w14:textFill>
            <w14:solidFill>
              <w14:schemeClr w14:val="tx1"/>
            </w14:solidFill>
          </w14:textFill>
        </w:rPr>
        <w:t>“十五五”时期全面建设社会主义现代化进程中具有承前启后的重要地位</w:t>
      </w:r>
      <w:bookmarkEnd w:id="7"/>
    </w:p>
    <w:p w14:paraId="302F4BBD">
      <w:pPr>
        <w:pageBreakBefore w:val="0"/>
        <w:widowControl w:val="0"/>
        <w:kinsoku/>
        <w:wordWrap/>
        <w:topLinePunct w:val="0"/>
        <w:autoSpaceDN/>
        <w:bidi w:val="0"/>
        <w:snapToGrid w:val="0"/>
        <w:spacing w:beforeAutospacing="0" w:afterAutospacing="0" w:line="600" w:lineRule="exact"/>
        <w:ind w:firstLine="640" w:firstLineChars="200"/>
        <w:jc w:val="both"/>
        <w:rPr>
          <w:rFonts w:hint="eastAsia" w:ascii="仿宋" w:hAnsi="仿宋" w:eastAsia="仿宋" w:cs="仿宋"/>
          <w:color w:val="000000" w:themeColor="text1"/>
          <w:highlight w:val="none"/>
          <w:lang w:eastAsia="zh"/>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十五五”时期是我国基本实现社会主义现代化夯实基础、全面发力的关键时期，是黑龙江建设现代化强省重振雄风、再创佳绩的关键时期，是佳木斯加快实现跨越式发展把握机遇、乘势而上的关键时期，是东风区高质量发展攻坚突破、踔厉奋发的关键时期，要充分发挥优势条件，破除发展瓶颈制约，持续补短板强弱项，推动发展方式从资源驱动向创新引领转变，着力推动产业层级从中初级为主向中高端为主提升，着力推动对外开放从通道经济向进出口加工等多元化经济拓展，着力推动城市发展由外延扩张向内涵提升转变，着力推动区域发展从局部联动向全域整体协同优化，着力推动生态优势从绿色本底向发展动能转化，着力推动人民生活从全面小康向共同富裕迈进，推进全面振兴取得新突破、各项事业开创新局面，为加快建设社会主义现代化东风区奠定更加坚实的基础。</w:t>
      </w:r>
    </w:p>
    <w:p w14:paraId="35FF8A73">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8" w:name="_Toc17448"/>
      <w:r>
        <w:rPr>
          <w:rFonts w:hint="eastAsia" w:ascii="楷体" w:hAnsi="楷体" w:eastAsia="楷体" w:cs="楷体"/>
          <w:color w:val="000000" w:themeColor="text1"/>
          <w:highlight w:val="none"/>
          <w:lang w:eastAsia="zh"/>
          <w14:textFill>
            <w14:solidFill>
              <w14:schemeClr w14:val="tx1"/>
            </w14:solidFill>
          </w14:textFill>
        </w:rPr>
        <w:t>第</w:t>
      </w:r>
      <w:r>
        <w:rPr>
          <w:rFonts w:hint="eastAsia" w:ascii="楷体" w:hAnsi="楷体" w:eastAsia="楷体" w:cs="楷体"/>
          <w:color w:val="000000" w:themeColor="text1"/>
          <w:highlight w:val="none"/>
          <w:lang w:val="en-US" w:eastAsia="zh-CN"/>
          <w14:textFill>
            <w14:solidFill>
              <w14:schemeClr w14:val="tx1"/>
            </w14:solidFill>
          </w14:textFill>
        </w:rPr>
        <w:t>三</w:t>
      </w:r>
      <w:r>
        <w:rPr>
          <w:rFonts w:hint="eastAsia" w:ascii="楷体" w:hAnsi="楷体" w:eastAsia="楷体" w:cs="楷体"/>
          <w:color w:val="000000" w:themeColor="text1"/>
          <w:highlight w:val="none"/>
          <w:lang w:eastAsia="zh"/>
          <w14:textFill>
            <w14:solidFill>
              <w14:schemeClr w14:val="tx1"/>
            </w14:solidFill>
          </w14:textFill>
        </w:rPr>
        <w:t>章 “十五五”时期</w:t>
      </w:r>
      <w:r>
        <w:rPr>
          <w:rFonts w:hint="eastAsia" w:ascii="楷体" w:hAnsi="楷体" w:eastAsia="楷体" w:cs="楷体"/>
          <w:color w:val="000000" w:themeColor="text1"/>
          <w:highlight w:val="none"/>
          <w:lang w:val="en-US" w:eastAsia="zh-CN"/>
          <w14:textFill>
            <w14:solidFill>
              <w14:schemeClr w14:val="tx1"/>
            </w14:solidFill>
          </w14:textFill>
        </w:rPr>
        <w:t>发展环境面临深刻复杂变化</w:t>
      </w:r>
      <w:bookmarkEnd w:id="8"/>
    </w:p>
    <w:p w14:paraId="2674E967">
      <w:pPr>
        <w:pageBreakBefore w:val="0"/>
        <w:widowControl w:val="0"/>
        <w:kinsoku/>
        <w:wordWrap/>
        <w:topLinePunct w:val="0"/>
        <w:autoSpaceDN/>
        <w:bidi w:val="0"/>
        <w:snapToGrid w:val="0"/>
        <w:spacing w:beforeAutospacing="0" w:afterAutospacing="0" w:line="600" w:lineRule="exact"/>
        <w:jc w:val="both"/>
        <w:rPr>
          <w:rFonts w:hint="default"/>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国际形势演变深刻影响国内发展，我国发展处于战略机遇和风险挑战并存、不确定难预料因素增多的时期，东风区发展面临新形势新变化、新机遇新挑战。</w:t>
      </w:r>
    </w:p>
    <w:p w14:paraId="03129FD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从国际来看，</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世界百年未有之大变局加速演进，科技革命和大国博弈相互交织，不确定不稳定难预料因素明显增多。新一轮科技革命和产业变革正深刻重塑全球发展格局，各国围绕前沿领域的竞争日趋激烈，新兴国家积极谋求整体跃升、摆脱价值链低端锁定。与此同时，全球经贸规则与治理体系经历深刻调整，地缘政治、安全与意识形态因素日益渗入经济布局，产业链供应链呈现本土化、区域化重构趋势。我国坚持扩大高水平对外开放，深化共建“一带一路”，推动国际合作走深走实，为我区拓展对外交流、融入全球发展网络提供了重要契机。</w:t>
      </w:r>
    </w:p>
    <w:p w14:paraId="57C729FB">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从国内来看，</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我国发展进入战略机遇和风险挑战并存、不确定难预料因素增多的时期。经济长期向好的基本面没有改变，制度优势、市场优势、产业体系优势和人力资源优势持续彰显。同时，发展不平衡不充分问题依然存在，人口结构变化、传统红利渐消，推动高质量发展、培育新动能的任务更加紧迫。“十五五”时期，我国将加快构建新发展格局，着力推进城乡融合、区域协调，促进经济社会发展全面绿色转型，这要求东风区必须统筹发展与安全、转型与增长，在服务国家大局中实现自身提升。</w:t>
      </w:r>
    </w:p>
    <w:p w14:paraId="342B759F">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从全省来看，</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黑龙江省牢牢把握新一轮东北振兴战略机遇，围绕维护国家“五大安全”、建设“六个龙江”，推动“4567”现代化产业体系建设，全省经济总量持续扩大，发展质量稳步提高，数字经济、生物经济、冰雪经济、创意设计等新业态蓬勃兴起，营商环境不断优化，振兴发展氛围日益浓厚。东风区需紧抓全省振兴突破的历史窗口，主动融入龙江发展布局，找准自身功能定位，在产业升级、创新驱动、开放合作、环境优化等方面实现新作为。</w:t>
      </w:r>
    </w:p>
    <w:p w14:paraId="6424851B">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从全市来看，</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佳木斯市肩负建设全省东部区域中心城市的重要使命，高质量发展步伐坚实。“千百十”产业量级提升工程全面推进，国家级农高区成功创建，卫星产业、跨境通道、开放平台建设取得突破。城市功能不断完善，区域辐射带动力持续增强。东风区作为中心城区的重要组成部分，必须紧紧围绕全市战略部署，在产业发展、城市建设、公共服务、对外开放等领域深化与市级联动，实现同频共振、协同共进。</w:t>
      </w:r>
    </w:p>
    <w:p w14:paraId="769C589D">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从全区来看，</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东风区正处于转型升级、跨越发展的关键阶段。产业基础持续夯实，农机装备、绿色食品等传统领域稳步提升，新材料、新能源等新兴动能加快培育。区位交通优势突出，水陆铁空多式联运体系完善，对俄开放通道功能显著。城市功能与承载能力不断增强，民生事业与社会治理稳步推进。同时，也面临产业结构需进一步优化、创新驱动力有待加强、城乡发展不够均衡、公共服务体系尚需完善等挑战。“十五五”时期，东风区必须坚持系统观念，统筹经济与社会、城市与乡村、发展与安全，在全面融入国家和省、市战略中走出一条具有东风区特色的高质量发展之路。</w:t>
      </w:r>
    </w:p>
    <w:p w14:paraId="46894099">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0"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十五五”时期，全区上下要坚决贯彻落实习近平总书记重要讲话重要指示精神，深刻领悟“两个确立”的决定性意义，增强“四个意识”、坚定“四个自信”、做到“两个维护”，保持战略定力，增强必胜信心，积极识变应变求变，敢于斗争、善于斗争，攻坚克难、担当作为，以历史主动精神克难关、战风险、迎挑战，集中力量办好自己的事，不断开创高质量发展、可持续振兴新局面，奋力谱写中国式现代化东风区新篇章。</w:t>
      </w:r>
    </w:p>
    <w:p w14:paraId="35FF8A79">
      <w:pPr>
        <w:pStyle w:val="2"/>
        <w:keepNext w:val="0"/>
        <w:keepLines w:val="0"/>
        <w:pageBreakBefore w:val="0"/>
        <w:widowControl w:val="0"/>
        <w:kinsoku/>
        <w:wordWrap/>
        <w:topLinePunct w:val="0"/>
        <w:autoSpaceDN/>
        <w:bidi w:val="0"/>
        <w:snapToGrid w:val="0"/>
        <w:spacing w:beforeAutospacing="0" w:afterAutospacing="0" w:line="600" w:lineRule="exact"/>
        <w:jc w:val="center"/>
        <w:rPr>
          <w:rFonts w:hint="eastAsia" w:ascii="黑体" w:hAnsi="黑体" w:eastAsia="黑体" w:cs="黑体"/>
          <w:color w:val="000000" w:themeColor="text1"/>
          <w:highlight w:val="none"/>
          <w:lang w:eastAsia="zh"/>
          <w14:textFill>
            <w14:solidFill>
              <w14:schemeClr w14:val="tx1"/>
            </w14:solidFill>
          </w14:textFill>
        </w:rPr>
      </w:pPr>
      <w:bookmarkStart w:id="9" w:name="_Toc5404"/>
      <w:r>
        <w:rPr>
          <w:rFonts w:hint="eastAsia" w:ascii="黑体" w:hAnsi="黑体" w:eastAsia="黑体" w:cs="黑体"/>
          <w:color w:val="000000" w:themeColor="text1"/>
          <w:highlight w:val="none"/>
          <w:lang w:eastAsia="zh"/>
          <w14:textFill>
            <w14:solidFill>
              <w14:schemeClr w14:val="tx1"/>
            </w14:solidFill>
          </w14:textFill>
        </w:rPr>
        <w:t xml:space="preserve">第二篇 </w:t>
      </w:r>
      <w:r>
        <w:rPr>
          <w:rFonts w:hint="eastAsia" w:ascii="黑体" w:hAnsi="黑体" w:eastAsia="黑体" w:cs="黑体"/>
          <w:color w:val="000000" w:themeColor="text1"/>
          <w:highlight w:val="none"/>
          <w14:textFill>
            <w14:solidFill>
              <w14:schemeClr w14:val="tx1"/>
            </w14:solidFill>
          </w14:textFill>
        </w:rPr>
        <w:t>“十五五”时期经济社会发展</w:t>
      </w:r>
      <w:r>
        <w:rPr>
          <w:rFonts w:hint="eastAsia" w:ascii="黑体" w:hAnsi="黑体" w:eastAsia="黑体" w:cs="黑体"/>
          <w:color w:val="000000" w:themeColor="text1"/>
          <w:highlight w:val="none"/>
          <w:lang w:eastAsia="zh"/>
          <w14:textFill>
            <w14:solidFill>
              <w14:schemeClr w14:val="tx1"/>
            </w14:solidFill>
          </w14:textFill>
        </w:rPr>
        <w:t>的总体要求</w:t>
      </w:r>
      <w:bookmarkEnd w:id="9"/>
    </w:p>
    <w:p w14:paraId="78A6BB21">
      <w:pPr>
        <w:pStyle w:val="3"/>
        <w:keepNext w:val="0"/>
        <w:keepLines w:val="0"/>
        <w:pageBreakBefore w:val="0"/>
        <w:widowControl w:val="0"/>
        <w:kinsoku/>
        <w:wordWrap/>
        <w:topLinePunct w:val="0"/>
        <w:autoSpaceDN/>
        <w:bidi w:val="0"/>
        <w:snapToGrid w:val="0"/>
        <w:spacing w:beforeAutospacing="0" w:afterAutospacing="0" w:line="600" w:lineRule="exact"/>
        <w:ind w:firstLine="640" w:firstLineChars="0"/>
        <w:jc w:val="both"/>
        <w:rPr>
          <w:rFonts w:hint="eastAsia" w:ascii="仿宋" w:hAnsi="仿宋" w:eastAsia="仿宋" w:cs="仿宋"/>
          <w:b w:val="0"/>
          <w:bCs/>
          <w:color w:val="000000" w:themeColor="text1"/>
          <w14:textFill>
            <w14:solidFill>
              <w14:schemeClr w14:val="tx1"/>
            </w14:solidFill>
          </w14:textFill>
        </w:rPr>
      </w:pPr>
      <w:bookmarkStart w:id="10" w:name="_Toc3397"/>
      <w:r>
        <w:rPr>
          <w:rFonts w:hint="eastAsia" w:ascii="仿宋" w:hAnsi="仿宋" w:eastAsia="仿宋" w:cs="仿宋"/>
          <w:b w:val="0"/>
          <w:bCs/>
          <w:color w:val="000000" w:themeColor="text1"/>
          <w14:textFill>
            <w14:solidFill>
              <w14:schemeClr w14:val="tx1"/>
            </w14:solidFill>
          </w14:textFill>
        </w:rPr>
        <w:t>“十五五”时期是东风区在全面完成“十四五”目标任务、巩固拓展脱贫攻坚成果、全面推进乡村振兴基础上，乘势而上开启全面建设社会主义现代化新征程的关键五年。面对新形势、新任务、新挑战，我们必须科学把握发展大势，牢牢锚定奋斗目标，确保“十五五”发展蓝图转化为生动实践、发展实效，为服务国家和省</w:t>
      </w:r>
      <w:r>
        <w:rPr>
          <w:rFonts w:hint="eastAsia" w:ascii="仿宋" w:hAnsi="仿宋" w:eastAsia="仿宋" w:cs="仿宋"/>
          <w:b w:val="0"/>
          <w:bCs/>
          <w:color w:val="000000" w:themeColor="text1"/>
          <w:lang w:eastAsia="zh-CN"/>
          <w14:textFill>
            <w14:solidFill>
              <w14:schemeClr w14:val="tx1"/>
            </w14:solidFill>
          </w14:textFill>
        </w:rPr>
        <w:t>、</w:t>
      </w:r>
      <w:r>
        <w:rPr>
          <w:rFonts w:hint="eastAsia" w:ascii="仿宋" w:hAnsi="仿宋" w:eastAsia="仿宋" w:cs="仿宋"/>
          <w:b w:val="0"/>
          <w:bCs/>
          <w:color w:val="000000" w:themeColor="text1"/>
          <w14:textFill>
            <w14:solidFill>
              <w14:schemeClr w14:val="tx1"/>
            </w14:solidFill>
          </w14:textFill>
        </w:rPr>
        <w:t>市发展大局贡献东风力量、展现东风担当。</w:t>
      </w:r>
    </w:p>
    <w:p w14:paraId="35FF8A7A">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highlight w:val="none"/>
          <w:lang w:eastAsia="zh"/>
          <w14:textFill>
            <w14:solidFill>
              <w14:schemeClr w14:val="tx1"/>
            </w14:solidFill>
          </w14:textFill>
          <w:woUserID w:val="3"/>
        </w:rPr>
      </w:pPr>
      <w:r>
        <w:rPr>
          <w:rFonts w:hint="eastAsia" w:ascii="楷体" w:hAnsi="楷体" w:eastAsia="楷体" w:cs="楷体"/>
          <w:b/>
          <w:bCs w:val="0"/>
          <w:color w:val="000000" w:themeColor="text1"/>
          <w:highlight w:val="none"/>
          <w:lang w:eastAsia="zh"/>
          <w14:textFill>
            <w14:solidFill>
              <w14:schemeClr w14:val="tx1"/>
            </w14:solidFill>
          </w14:textFill>
          <w:woUserID w:val="3"/>
        </w:rPr>
        <w:t>第</w:t>
      </w:r>
      <w:r>
        <w:rPr>
          <w:rFonts w:hint="eastAsia" w:ascii="楷体" w:hAnsi="楷体" w:eastAsia="楷体" w:cs="楷体"/>
          <w:b/>
          <w:bCs w:val="0"/>
          <w:color w:val="000000" w:themeColor="text1"/>
          <w:highlight w:val="none"/>
          <w:lang w:val="en-US" w:eastAsia="zh-CN"/>
          <w14:textFill>
            <w14:solidFill>
              <w14:schemeClr w14:val="tx1"/>
            </w14:solidFill>
          </w14:textFill>
          <w:woUserID w:val="3"/>
        </w:rPr>
        <w:t>四</w:t>
      </w:r>
      <w:r>
        <w:rPr>
          <w:rFonts w:hint="eastAsia" w:ascii="楷体" w:hAnsi="楷体" w:eastAsia="楷体" w:cs="楷体"/>
          <w:b/>
          <w:bCs w:val="0"/>
          <w:color w:val="000000" w:themeColor="text1"/>
          <w:highlight w:val="none"/>
          <w:lang w:eastAsia="zh"/>
          <w14:textFill>
            <w14:solidFill>
              <w14:schemeClr w14:val="tx1"/>
            </w14:solidFill>
          </w14:textFill>
          <w:woUserID w:val="3"/>
        </w:rPr>
        <w:t>章 “十五五”时期经济社会发展的指导思想</w:t>
      </w:r>
      <w:bookmarkEnd w:id="10"/>
    </w:p>
    <w:p w14:paraId="35FF8A7B">
      <w:pPr>
        <w:keepNext w:val="0"/>
        <w:keepLines w:val="0"/>
        <w:pageBreakBefore w:val="0"/>
        <w:widowControl w:val="0"/>
        <w:kinsoku/>
        <w:wordWrap/>
        <w:topLinePunct w:val="0"/>
        <w:autoSpaceDN/>
        <w:bidi w:val="0"/>
        <w:snapToGrid w:val="0"/>
        <w:spacing w:beforeAutospacing="0" w:afterAutospacing="0" w:line="600" w:lineRule="exact"/>
        <w:jc w:val="both"/>
        <w:rPr>
          <w:rFonts w:hint="default" w:ascii="Times New Roman" w:hAnsi="Times New Roman" w:eastAsia="仿宋_GB2312" w:cs="Times New Roman"/>
          <w:color w:val="000000" w:themeColor="text1"/>
          <w:highlight w:val="none"/>
          <w:lang w:eastAsia="zh"/>
          <w14:textFill>
            <w14:solidFill>
              <w14:schemeClr w14:val="tx1"/>
            </w14:solidFill>
          </w14:textFill>
        </w:rPr>
      </w:pPr>
      <w:r>
        <w:rPr>
          <w:rFonts w:hint="eastAsia" w:ascii="仿宋" w:hAnsi="仿宋" w:eastAsia="仿宋" w:cs="仿宋"/>
          <w:color w:val="000000" w:themeColor="text1"/>
          <w:highlight w:val="none"/>
          <w:lang w:eastAsia="zh"/>
          <w14:textFill>
            <w14:solidFill>
              <w14:schemeClr w14:val="tx1"/>
            </w14:solidFill>
          </w14:textFill>
          <w:woUserID w:val="2"/>
        </w:rPr>
        <w:t>坚持马克思列宁主义、毛泽东思想、邓小平理论、“三个代表”重要思想、科学发展观，全面贯彻习近平新时代中国特色社会主义思想，深入贯彻党的二十大和二十届历次全会精神，围绕全面建成社会主义现代化强国、实现第二个百年奋斗目标，以中国式现代化全面推进中华民族伟大复兴，统筹推进“五位一体”总体布局，协调推进“四个全面”战略布局，完整准确全面贯彻新发展理念，服务和融入构建新发展格局，坚持稳中求进工作总基调，牢牢把握东风区在全国</w:t>
      </w:r>
      <w:r>
        <w:rPr>
          <w:rFonts w:hint="eastAsia" w:ascii="仿宋" w:hAnsi="仿宋" w:eastAsia="仿宋" w:cs="仿宋"/>
          <w:color w:val="000000" w:themeColor="text1"/>
          <w:highlight w:val="none"/>
          <w:lang w:eastAsia="zh-CN"/>
          <w14:textFill>
            <w14:solidFill>
              <w14:schemeClr w14:val="tx1"/>
            </w14:solidFill>
          </w14:textFill>
          <w:woUserID w:val="2"/>
        </w:rPr>
        <w:t>、</w:t>
      </w:r>
      <w:r>
        <w:rPr>
          <w:rFonts w:hint="eastAsia" w:ascii="仿宋" w:hAnsi="仿宋" w:eastAsia="仿宋" w:cs="仿宋"/>
          <w:color w:val="000000" w:themeColor="text1"/>
          <w:highlight w:val="none"/>
          <w:lang w:eastAsia="zh"/>
          <w14:textFill>
            <w14:solidFill>
              <w14:schemeClr w14:val="tx1"/>
            </w14:solidFill>
          </w14:textFill>
          <w:woUserID w:val="2"/>
        </w:rPr>
        <w:t>全省</w:t>
      </w:r>
      <w:r>
        <w:rPr>
          <w:rFonts w:hint="eastAsia" w:ascii="仿宋" w:hAnsi="仿宋" w:eastAsia="仿宋" w:cs="仿宋"/>
          <w:color w:val="000000" w:themeColor="text1"/>
          <w:highlight w:val="none"/>
          <w:lang w:eastAsia="zh-CN"/>
          <w14:textFill>
            <w14:solidFill>
              <w14:schemeClr w14:val="tx1"/>
            </w14:solidFill>
          </w14:textFill>
          <w:woUserID w:val="2"/>
        </w:rPr>
        <w:t>、</w:t>
      </w:r>
      <w:r>
        <w:rPr>
          <w:rFonts w:hint="eastAsia" w:ascii="仿宋" w:hAnsi="仿宋" w:eastAsia="仿宋" w:cs="仿宋"/>
          <w:color w:val="000000" w:themeColor="text1"/>
          <w:highlight w:val="none"/>
          <w:lang w:eastAsia="zh"/>
          <w14:textFill>
            <w14:solidFill>
              <w14:schemeClr w14:val="tx1"/>
            </w14:solidFill>
          </w14:textFill>
          <w:woUserID w:val="2"/>
        </w:rPr>
        <w:t>全市发展大局中的战略定位，坚决扛起维护国家“五大安全”、建好建强“三基地一屏障一高地”东风区担当，坚持以经济建设为中心，以推动高质量发展为主题，以改革创新为根本动力，以满足人民日益增长的美好生活需要为根本目的，以全面从严治党为根本保障，坚持“产业强区、创新兴区、开放活区、环境优区”，着力发展新质生产力、着力建设现代化产业体系，着力推进全面深化改革开放，聚力打造“寒地种子育繁推产业高质量发展引领区”“高端装备与新材料产业发展集聚区”“三江平原现代物流枢纽核心区”“对俄开放合作产业承载区”和“产城融合示范区”，推动经济实现质的有效提升和量的合理增长，推动人的全面发展、全体人民共同富裕迈出坚实步伐，与全国同步基本实现社会主义现代化取得决定性进展。</w:t>
      </w:r>
    </w:p>
    <w:p w14:paraId="35FF8A7C">
      <w:pPr>
        <w:pStyle w:val="3"/>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eastAsia" w:ascii="楷体" w:hAnsi="楷体" w:eastAsia="楷体" w:cs="楷体"/>
          <w:color w:val="000000" w:themeColor="text1"/>
          <w:highlight w:val="none"/>
          <w:lang w:eastAsia="zh"/>
          <w14:textFill>
            <w14:solidFill>
              <w14:schemeClr w14:val="tx1"/>
            </w14:solidFill>
          </w14:textFill>
          <w:woUserID w:val="3"/>
        </w:rPr>
      </w:pPr>
      <w:bookmarkStart w:id="11" w:name="_Toc17584"/>
      <w:r>
        <w:rPr>
          <w:rFonts w:hint="eastAsia" w:ascii="楷体" w:hAnsi="楷体" w:eastAsia="楷体" w:cs="楷体"/>
          <w:color w:val="000000" w:themeColor="text1"/>
          <w:highlight w:val="none"/>
          <w:lang w:eastAsia="zh"/>
          <w14:textFill>
            <w14:solidFill>
              <w14:schemeClr w14:val="tx1"/>
            </w14:solidFill>
          </w14:textFill>
          <w:woUserID w:val="3"/>
        </w:rPr>
        <w:t>第</w:t>
      </w:r>
      <w:r>
        <w:rPr>
          <w:rFonts w:hint="eastAsia" w:ascii="楷体" w:hAnsi="楷体" w:eastAsia="楷体" w:cs="楷体"/>
          <w:color w:val="000000" w:themeColor="text1"/>
          <w:highlight w:val="none"/>
          <w:lang w:val="en-US" w:eastAsia="zh-CN"/>
          <w14:textFill>
            <w14:solidFill>
              <w14:schemeClr w14:val="tx1"/>
            </w14:solidFill>
          </w14:textFill>
          <w:woUserID w:val="3"/>
        </w:rPr>
        <w:t>五</w:t>
      </w:r>
      <w:r>
        <w:rPr>
          <w:rFonts w:hint="eastAsia" w:ascii="楷体" w:hAnsi="楷体" w:eastAsia="楷体" w:cs="楷体"/>
          <w:color w:val="000000" w:themeColor="text1"/>
          <w:highlight w:val="none"/>
          <w:lang w:eastAsia="zh"/>
          <w14:textFill>
            <w14:solidFill>
              <w14:schemeClr w14:val="tx1"/>
            </w14:solidFill>
          </w14:textFill>
          <w:woUserID w:val="3"/>
        </w:rPr>
        <w:t>章 “十五五”时期经济社会发展必须</w:t>
      </w:r>
      <w:r>
        <w:rPr>
          <w:rFonts w:hint="eastAsia" w:ascii="楷体" w:hAnsi="楷体" w:eastAsia="楷体" w:cs="楷体"/>
          <w:color w:val="000000" w:themeColor="text1"/>
          <w:highlight w:val="none"/>
          <w:lang w:val="en-US" w:eastAsia="zh-CN"/>
          <w14:textFill>
            <w14:solidFill>
              <w14:schemeClr w14:val="tx1"/>
            </w14:solidFill>
          </w14:textFill>
          <w:woUserID w:val="3"/>
        </w:rPr>
        <w:t>遵循</w:t>
      </w:r>
      <w:r>
        <w:rPr>
          <w:rFonts w:hint="eastAsia" w:ascii="楷体" w:hAnsi="楷体" w:eastAsia="楷体" w:cs="楷体"/>
          <w:color w:val="000000" w:themeColor="text1"/>
          <w:highlight w:val="none"/>
          <w:lang w:eastAsia="zh"/>
          <w14:textFill>
            <w14:solidFill>
              <w14:schemeClr w14:val="tx1"/>
            </w14:solidFill>
          </w14:textFill>
          <w:woUserID w:val="3"/>
        </w:rPr>
        <w:t>的原则</w:t>
      </w:r>
      <w:bookmarkEnd w:id="11"/>
    </w:p>
    <w:p w14:paraId="66E9DD1F">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14:textFill>
            <w14:solidFill>
              <w14:schemeClr w14:val="tx1"/>
            </w14:solidFill>
          </w14:textFill>
        </w:rPr>
        <w:t>坚持党的全面领导。</w:t>
      </w:r>
      <w:r>
        <w:rPr>
          <w:rFonts w:hint="eastAsia" w:ascii="仿宋" w:hAnsi="仿宋" w:eastAsia="仿宋" w:cs="仿宋"/>
          <w:color w:val="000000" w:themeColor="text1"/>
          <w:highlight w:val="none"/>
          <w:lang w:eastAsia="zh"/>
          <w14:textFill>
            <w14:solidFill>
              <w14:schemeClr w14:val="tx1"/>
            </w14:solidFill>
          </w14:textFill>
          <w:woUserID w:val="2"/>
        </w:rPr>
        <w:t>坚决维护党中央权威和集中统一领导，不断提高政治判断力、政治领悟力、政治执行力，确保党中央大政方针和省</w:t>
      </w:r>
      <w:r>
        <w:rPr>
          <w:rFonts w:hint="eastAsia" w:ascii="仿宋" w:hAnsi="仿宋" w:eastAsia="仿宋" w:cs="仿宋"/>
          <w:color w:val="000000" w:themeColor="text1"/>
          <w:highlight w:val="none"/>
          <w:lang w:val="en-US" w:eastAsia="zh-CN"/>
          <w14:textFill>
            <w14:solidFill>
              <w14:schemeClr w14:val="tx1"/>
            </w14:solidFill>
          </w14:textFill>
          <w:woUserID w:val="2"/>
        </w:rPr>
        <w:t>委</w:t>
      </w:r>
      <w:r>
        <w:rPr>
          <w:rFonts w:hint="eastAsia" w:ascii="仿宋" w:hAnsi="仿宋" w:eastAsia="仿宋" w:cs="仿宋"/>
          <w:color w:val="000000" w:themeColor="text1"/>
          <w:highlight w:val="none"/>
          <w:lang w:eastAsia="zh"/>
          <w14:textFill>
            <w14:solidFill>
              <w14:schemeClr w14:val="tx1"/>
            </w14:solidFill>
          </w14:textFill>
          <w:woUserID w:val="2"/>
        </w:rPr>
        <w:t>、市</w:t>
      </w:r>
      <w:r>
        <w:rPr>
          <w:rFonts w:hint="eastAsia" w:ascii="仿宋" w:hAnsi="仿宋" w:eastAsia="仿宋" w:cs="仿宋"/>
          <w:color w:val="000000" w:themeColor="text1"/>
          <w:highlight w:val="none"/>
          <w:lang w:val="en-US" w:eastAsia="zh-CN"/>
          <w14:textFill>
            <w14:solidFill>
              <w14:schemeClr w14:val="tx1"/>
            </w14:solidFill>
          </w14:textFill>
          <w:woUserID w:val="2"/>
        </w:rPr>
        <w:t>委</w:t>
      </w:r>
      <w:r>
        <w:rPr>
          <w:rFonts w:hint="eastAsia" w:ascii="仿宋" w:hAnsi="仿宋" w:eastAsia="仿宋" w:cs="仿宋"/>
          <w:color w:val="000000" w:themeColor="text1"/>
          <w:highlight w:val="none"/>
          <w:lang w:eastAsia="zh"/>
          <w14:textFill>
            <w14:solidFill>
              <w14:schemeClr w14:val="tx1"/>
            </w14:solidFill>
          </w14:textFill>
          <w:woUserID w:val="2"/>
        </w:rPr>
        <w:t>决策部署在东风区不折不扣落到实处，为实现高质量发展提供根本保证。</w:t>
      </w:r>
    </w:p>
    <w:p w14:paraId="35FF8A7E">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坚持</w:t>
      </w:r>
      <w:r>
        <w:rPr>
          <w:rFonts w:hint="eastAsia" w:ascii="仿宋" w:hAnsi="仿宋" w:eastAsia="仿宋" w:cs="仿宋"/>
          <w:b/>
          <w:bCs/>
          <w:color w:val="000000" w:themeColor="text1"/>
          <w:highlight w:val="none"/>
          <w:lang w:eastAsia="zh"/>
          <w14:textFill>
            <w14:solidFill>
              <w14:schemeClr w14:val="tx1"/>
            </w14:solidFill>
          </w14:textFill>
        </w:rPr>
        <w:t>人民至上</w:t>
      </w:r>
      <w:r>
        <w:rPr>
          <w:rFonts w:hint="eastAsia" w:ascii="仿宋" w:hAnsi="仿宋" w:eastAsia="仿宋" w:cs="仿宋"/>
          <w:b/>
          <w:bCs/>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eastAsia="zh"/>
          <w14:textFill>
            <w14:solidFill>
              <w14:schemeClr w14:val="tx1"/>
            </w14:solidFill>
          </w14:textFill>
          <w:woUserID w:val="2"/>
        </w:rPr>
        <w:t>坚持发展为了人民、发展依靠人民、发展成果由人民共享，聚焦群众“急难愁盼”问题，持续保障和改善民生，扎实推进共同富裕，不断增强人民群众的获得感、幸福感、安全感，让现代化建设成果更多更公平惠及东风区人民。</w:t>
      </w:r>
    </w:p>
    <w:p w14:paraId="474DAFF1">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b w:val="0"/>
          <w:bCs w:val="0"/>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坚持</w:t>
      </w:r>
      <w:r>
        <w:rPr>
          <w:rFonts w:hint="eastAsia" w:ascii="仿宋" w:hAnsi="仿宋" w:eastAsia="仿宋" w:cs="仿宋"/>
          <w:b/>
          <w:bCs/>
          <w:color w:val="000000" w:themeColor="text1"/>
          <w:highlight w:val="none"/>
          <w:lang w:eastAsia="zh"/>
          <w14:textFill>
            <w14:solidFill>
              <w14:schemeClr w14:val="tx1"/>
            </w14:solidFill>
          </w14:textFill>
        </w:rPr>
        <w:t>高质量发展</w:t>
      </w:r>
      <w:r>
        <w:rPr>
          <w:rFonts w:hint="eastAsia" w:ascii="仿宋" w:hAnsi="仿宋" w:eastAsia="仿宋" w:cs="仿宋"/>
          <w:b/>
          <w:bCs/>
          <w:color w:val="000000" w:themeColor="text1"/>
          <w:highlight w:val="none"/>
          <w14:textFill>
            <w14:solidFill>
              <w14:schemeClr w14:val="tx1"/>
            </w14:solidFill>
          </w14:textFill>
        </w:rPr>
        <w:t>。</w:t>
      </w:r>
      <w:r>
        <w:rPr>
          <w:rFonts w:hint="eastAsia" w:ascii="仿宋" w:hAnsi="仿宋" w:eastAsia="仿宋" w:cs="仿宋"/>
          <w:b w:val="0"/>
          <w:bCs w:val="0"/>
          <w:color w:val="000000" w:themeColor="text1"/>
          <w:highlight w:val="none"/>
          <w14:textFill>
            <w14:solidFill>
              <w14:schemeClr w14:val="tx1"/>
            </w14:solidFill>
          </w14:textFill>
        </w:rPr>
        <w:t>把发展质量摆在更突出位置，坚定不移转方式、调结构、增动能，</w:t>
      </w:r>
      <w:r>
        <w:rPr>
          <w:rFonts w:hint="eastAsia" w:ascii="仿宋" w:hAnsi="仿宋" w:eastAsia="仿宋" w:cs="仿宋"/>
          <w:color w:val="000000" w:themeColor="text1"/>
          <w:highlight w:val="none"/>
          <w:lang w:eastAsia="zh"/>
          <w14:textFill>
            <w14:solidFill>
              <w14:schemeClr w14:val="tx1"/>
            </w14:solidFill>
          </w14:textFill>
          <w:woUserID w:val="2"/>
        </w:rPr>
        <w:t>因地制宜发展新质生产力，</w:t>
      </w:r>
      <w:r>
        <w:rPr>
          <w:rFonts w:hint="eastAsia" w:ascii="仿宋" w:hAnsi="仿宋" w:eastAsia="仿宋" w:cs="仿宋"/>
          <w:b w:val="0"/>
          <w:bCs w:val="0"/>
          <w:color w:val="000000" w:themeColor="text1"/>
          <w:highlight w:val="none"/>
          <w14:textFill>
            <w14:solidFill>
              <w14:schemeClr w14:val="tx1"/>
            </w14:solidFill>
          </w14:textFill>
        </w:rPr>
        <w:t>推动经济发展质量变革、效率变革、动力变革，实现经济质的有效提升和量的合理增长。</w:t>
      </w:r>
    </w:p>
    <w:p w14:paraId="27E5EE5D">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坚持全面深化改革。</w:t>
      </w:r>
      <w:r>
        <w:rPr>
          <w:rFonts w:hint="eastAsia" w:ascii="仿宋" w:hAnsi="仿宋" w:eastAsia="仿宋" w:cs="仿宋"/>
          <w:color w:val="000000" w:themeColor="text1"/>
          <w:highlight w:val="none"/>
          <w14:textFill>
            <w14:solidFill>
              <w14:schemeClr w14:val="tx1"/>
            </w14:solidFill>
          </w14:textFill>
          <w:woUserID w:val="2"/>
        </w:rPr>
        <w:t>以更大的决心和勇气推进重点领域和关键环节改革，着力破除体制机制障碍。实施更大范围、更宽领域、更深层次对外开放，激发市场活力和社会创造力</w:t>
      </w:r>
      <w:r>
        <w:rPr>
          <w:rFonts w:hint="eastAsia" w:ascii="仿宋" w:hAnsi="仿宋" w:eastAsia="仿宋" w:cs="仿宋"/>
          <w:color w:val="000000" w:themeColor="text1"/>
          <w:highlight w:val="none"/>
          <w:lang w:eastAsia="zh-CN"/>
          <w14:textFill>
            <w14:solidFill>
              <w14:schemeClr w14:val="tx1"/>
            </w14:solidFill>
          </w14:textFill>
          <w:woUserID w:val="2"/>
        </w:rPr>
        <w:t>，</w:t>
      </w:r>
      <w:r>
        <w:rPr>
          <w:rFonts w:hint="eastAsia" w:ascii="仿宋" w:hAnsi="仿宋" w:eastAsia="仿宋" w:cs="仿宋"/>
          <w:color w:val="000000" w:themeColor="text1"/>
          <w:highlight w:val="none"/>
          <w14:textFill>
            <w14:solidFill>
              <w14:schemeClr w14:val="tx1"/>
            </w14:solidFill>
          </w14:textFill>
          <w:woUserID w:val="2"/>
        </w:rPr>
        <w:t>积极融入国内国际双循环，增强发展动力和活力。</w:t>
      </w:r>
    </w:p>
    <w:p w14:paraId="21660622">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rPr>
        <w:t>坚持有效市场和有为政府相结合。</w:t>
      </w:r>
      <w:r>
        <w:rPr>
          <w:rFonts w:hint="eastAsia" w:ascii="仿宋" w:hAnsi="仿宋" w:eastAsia="仿宋" w:cs="仿宋"/>
          <w:color w:val="000000" w:themeColor="text1"/>
          <w:highlight w:val="none"/>
          <w:lang w:eastAsia="zh"/>
          <w14:textFill>
            <w14:solidFill>
              <w14:schemeClr w14:val="tx1"/>
            </w14:solidFill>
          </w14:textFill>
          <w:woUserID w:val="2"/>
        </w:rPr>
        <w:t>充分发挥市场在资源配置中的决定性作用，更好发挥政府作用，构建统一、开放、竞争、有序的市场体系，建设法治经济、信用经济，打造市场化法治化国际化一流营商环境，形成既“放得活”又“管得好”的经济秩序。</w:t>
      </w:r>
    </w:p>
    <w:p w14:paraId="1E56B7AC">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rPr>
        <w:t>坚持统筹发展和安全。</w:t>
      </w:r>
      <w:r>
        <w:rPr>
          <w:rFonts w:hint="eastAsia" w:ascii="仿宋" w:hAnsi="仿宋" w:eastAsia="仿宋" w:cs="仿宋"/>
          <w:color w:val="000000" w:themeColor="text1"/>
          <w:highlight w:val="none"/>
          <w:lang w:eastAsia="zh"/>
          <w14:textFill>
            <w14:solidFill>
              <w14:schemeClr w14:val="tx1"/>
            </w14:solidFill>
          </w14:textFill>
          <w:woUserID w:val="2"/>
        </w:rPr>
        <w:t>牢固树立总体国家安全观，把安全发展贯穿发展各领域和全过程。统筹高质量发展和高水平安全，有效防范化解各类风险，提高本质安全水平，增强维护国家“五大安全”的能力，增强经济和社会韧性，以新安全格局保障新发展格局。</w:t>
      </w:r>
    </w:p>
    <w:p w14:paraId="37E717A7">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14:textFill>
            <w14:solidFill>
              <w14:schemeClr w14:val="tx1"/>
            </w14:solidFill>
          </w14:textFill>
        </w:rPr>
        <w:t>坚持一张蓝图绘到底。</w:t>
      </w:r>
      <w:r>
        <w:rPr>
          <w:rFonts w:hint="eastAsia" w:ascii="仿宋" w:hAnsi="仿宋" w:eastAsia="仿宋" w:cs="仿宋"/>
          <w:color w:val="000000" w:themeColor="text1"/>
          <w:kern w:val="2"/>
          <w:sz w:val="32"/>
          <w:szCs w:val="32"/>
          <w:highlight w:val="none"/>
          <w14:textFill>
            <w14:solidFill>
              <w14:schemeClr w14:val="tx1"/>
            </w14:solidFill>
          </w14:textFill>
          <w:woUserID w:val="2"/>
        </w:rPr>
        <w:t>保持定力，务实重干，办好抓机遇用机遇、应变局开新局的事，办好打基础利长远、锻长板补短板的事，办好顺民意解民忧、惠民生暖民心的事，善作善成、再接再厉、接续奋斗、久久为功，一步一个脚印把宏伟蓝图变为美好现实。</w:t>
      </w:r>
    </w:p>
    <w:p w14:paraId="35FF8A83">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14:textFill>
            <w14:solidFill>
              <w14:schemeClr w14:val="tx1"/>
            </w14:solidFill>
          </w14:textFill>
        </w:rPr>
      </w:pPr>
      <w:bookmarkStart w:id="12" w:name="_Toc23534"/>
      <w:r>
        <w:rPr>
          <w:rFonts w:hint="eastAsia" w:ascii="楷体" w:hAnsi="楷体" w:eastAsia="楷体" w:cs="楷体"/>
          <w:color w:val="000000" w:themeColor="text1"/>
          <w:highlight w:val="none"/>
          <w:lang w:eastAsia="zh"/>
          <w14:textFill>
            <w14:solidFill>
              <w14:schemeClr w14:val="tx1"/>
            </w14:solidFill>
          </w14:textFill>
        </w:rPr>
        <w:t>第</w:t>
      </w:r>
      <w:r>
        <w:rPr>
          <w:rFonts w:hint="eastAsia" w:ascii="楷体" w:hAnsi="楷体" w:eastAsia="楷体" w:cs="楷体"/>
          <w:color w:val="000000" w:themeColor="text1"/>
          <w:highlight w:val="none"/>
          <w:lang w:val="en-US" w:eastAsia="zh-CN"/>
          <w14:textFill>
            <w14:solidFill>
              <w14:schemeClr w14:val="tx1"/>
            </w14:solidFill>
          </w14:textFill>
        </w:rPr>
        <w:t>六</w:t>
      </w:r>
      <w:r>
        <w:rPr>
          <w:rFonts w:hint="eastAsia" w:ascii="楷体" w:hAnsi="楷体" w:eastAsia="楷体" w:cs="楷体"/>
          <w:color w:val="000000" w:themeColor="text1"/>
          <w:highlight w:val="none"/>
          <w:lang w:eastAsia="zh"/>
          <w14:textFill>
            <w14:solidFill>
              <w14:schemeClr w14:val="tx1"/>
            </w14:solidFill>
          </w14:textFill>
        </w:rPr>
        <w:t>章 “十五五”时期经济社会发展的战略定位</w:t>
      </w:r>
      <w:bookmarkEnd w:id="12"/>
    </w:p>
    <w:p w14:paraId="35FF8A84">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“十五五”时期，</w:t>
      </w:r>
      <w:r>
        <w:rPr>
          <w:rFonts w:hint="eastAsia" w:ascii="仿宋" w:hAnsi="仿宋" w:eastAsia="仿宋" w:cs="仿宋"/>
          <w:color w:val="000000" w:themeColor="text1"/>
          <w:highlight w:val="none"/>
          <w:lang w:eastAsia="zh"/>
          <w14:textFill>
            <w14:solidFill>
              <w14:schemeClr w14:val="tx1"/>
            </w14:solidFill>
          </w14:textFill>
          <w:woUserID w:val="2"/>
        </w:rPr>
        <w:t>牢牢把握东风区在全市全省发展大局、国家战略全局中的坐标定位</w:t>
      </w:r>
      <w:r>
        <w:rPr>
          <w:rFonts w:hint="eastAsia" w:ascii="仿宋" w:hAnsi="仿宋" w:eastAsia="仿宋" w:cs="仿宋"/>
          <w:color w:val="000000" w:themeColor="text1"/>
          <w:highlight w:val="none"/>
          <w14:textFill>
            <w14:solidFill>
              <w14:schemeClr w14:val="tx1"/>
            </w14:solidFill>
          </w14:textFill>
        </w:rPr>
        <w:t>，以深入实施“产业强区、创新兴区、开放活区、环境优区”四大战略为统领，</w:t>
      </w:r>
      <w:r>
        <w:rPr>
          <w:rFonts w:hint="eastAsia" w:ascii="仿宋" w:hAnsi="仿宋" w:eastAsia="仿宋" w:cs="仿宋"/>
          <w:color w:val="000000" w:themeColor="text1"/>
          <w:highlight w:val="none"/>
          <w:lang w:eastAsia="zh"/>
          <w14:textFill>
            <w14:solidFill>
              <w14:schemeClr w14:val="tx1"/>
            </w14:solidFill>
          </w14:textFill>
          <w:woUserID w:val="2"/>
        </w:rPr>
        <w:t>因地制宜、凝神聚力发展</w:t>
      </w:r>
      <w:r>
        <w:rPr>
          <w:rFonts w:hint="eastAsia" w:ascii="仿宋" w:hAnsi="仿宋" w:eastAsia="仿宋" w:cs="仿宋"/>
          <w:color w:val="000000" w:themeColor="text1"/>
          <w:highlight w:val="none"/>
          <w14:textFill>
            <w14:solidFill>
              <w14:schemeClr w14:val="tx1"/>
            </w14:solidFill>
          </w14:textFill>
        </w:rPr>
        <w:t>“五区”，构建高质量发展新格局。</w:t>
      </w:r>
    </w:p>
    <w:p w14:paraId="35FF8A85">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黑龙江寒地种子育繁推产业高质量发展引领区。</w:t>
      </w:r>
      <w:r>
        <w:rPr>
          <w:rFonts w:hint="eastAsia" w:ascii="仿宋" w:hAnsi="仿宋" w:eastAsia="仿宋" w:cs="仿宋"/>
          <w:color w:val="000000" w:themeColor="text1"/>
          <w:highlight w:val="none"/>
          <w14:textFill>
            <w14:solidFill>
              <w14:schemeClr w14:val="tx1"/>
            </w14:solidFill>
          </w14:textFill>
        </w:rPr>
        <w:t>强化产学研协同攻关，构建覆盖“育繁推一体化、产加销全链条”的现代种业体系，打造标准化种子生产基地，建立种质资源库和现代化加工中心，推动种业数字化升级，建设三江平原种业创新高地。</w:t>
      </w:r>
    </w:p>
    <w:p w14:paraId="35FF8A86">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高端装备与新材料产业发展集聚区。</w:t>
      </w:r>
      <w:r>
        <w:rPr>
          <w:rFonts w:hint="eastAsia" w:ascii="仿宋" w:hAnsi="仿宋" w:eastAsia="仿宋" w:cs="仿宋"/>
          <w:color w:val="000000" w:themeColor="text1"/>
          <w:highlight w:val="none"/>
          <w14:textFill>
            <w14:solidFill>
              <w14:schemeClr w14:val="tx1"/>
            </w14:solidFill>
          </w14:textFill>
        </w:rPr>
        <w:t>以发展新质生产力为引领，推动传统产业转型升级和战略性新兴产业集聚，重点发展智能</w:t>
      </w:r>
      <w:r>
        <w:rPr>
          <w:rFonts w:hint="eastAsia" w:ascii="仿宋" w:hAnsi="仿宋" w:eastAsia="仿宋" w:cs="仿宋"/>
          <w:color w:val="000000" w:themeColor="text1"/>
          <w:highlight w:val="none"/>
          <w:lang w:val="en-US" w:eastAsia="zh-CN"/>
          <w14:textFill>
            <w14:solidFill>
              <w14:schemeClr w14:val="tx1"/>
            </w14:solidFill>
          </w14:textFill>
        </w:rPr>
        <w:t>煤矿机械、绿色船舶</w:t>
      </w:r>
      <w:r>
        <w:rPr>
          <w:rFonts w:hint="eastAsia" w:ascii="仿宋" w:hAnsi="仿宋" w:eastAsia="仿宋" w:cs="仿宋"/>
          <w:color w:val="000000" w:themeColor="text1"/>
          <w:highlight w:val="none"/>
          <w14:textFill>
            <w14:solidFill>
              <w14:schemeClr w14:val="tx1"/>
            </w14:solidFill>
          </w14:textFill>
        </w:rPr>
        <w:t>和新材料等产业，建设全省</w:t>
      </w:r>
      <w:r>
        <w:rPr>
          <w:rFonts w:hint="eastAsia" w:ascii="仿宋" w:hAnsi="仿宋" w:eastAsia="仿宋" w:cs="仿宋"/>
          <w:color w:val="000000" w:themeColor="text1"/>
          <w:highlight w:val="none"/>
          <w:lang w:val="en-US" w:eastAsia="zh-CN"/>
          <w14:textFill>
            <w14:solidFill>
              <w14:schemeClr w14:val="tx1"/>
            </w14:solidFill>
          </w14:textFill>
        </w:rPr>
        <w:t>高端装备</w:t>
      </w:r>
      <w:r>
        <w:rPr>
          <w:rFonts w:hint="eastAsia" w:ascii="仿宋" w:hAnsi="仿宋" w:eastAsia="仿宋" w:cs="仿宋"/>
          <w:color w:val="000000" w:themeColor="text1"/>
          <w:highlight w:val="none"/>
          <w14:textFill>
            <w14:solidFill>
              <w14:schemeClr w14:val="tx1"/>
            </w14:solidFill>
          </w14:textFill>
        </w:rPr>
        <w:t>产业集聚区，重塑工业竞争新优势。</w:t>
      </w:r>
    </w:p>
    <w:p w14:paraId="1F58CDCD">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14:textFill>
            <w14:solidFill>
              <w14:schemeClr w14:val="tx1"/>
            </w14:solidFill>
          </w14:textFill>
        </w:rPr>
        <w:t>三江平原现代物流枢纽核心区。</w:t>
      </w:r>
      <w:r>
        <w:rPr>
          <w:rFonts w:hint="eastAsia" w:ascii="仿宋" w:hAnsi="仿宋" w:eastAsia="仿宋" w:cs="仿宋"/>
          <w:color w:val="000000" w:themeColor="text1"/>
          <w:highlight w:val="none"/>
          <w14:textFill>
            <w14:solidFill>
              <w14:schemeClr w14:val="tx1"/>
            </w14:solidFill>
          </w14:textFill>
        </w:rPr>
        <w:t>依托“</w:t>
      </w:r>
      <w:r>
        <w:rPr>
          <w:rFonts w:hint="eastAsia" w:ascii="仿宋" w:hAnsi="仿宋" w:eastAsia="仿宋" w:cs="仿宋"/>
          <w:color w:val="000000" w:themeColor="text1"/>
          <w:highlight w:val="none"/>
          <w14:textFill>
            <w14:solidFill>
              <w14:schemeClr w14:val="tx1"/>
            </w14:solidFill>
          </w14:textFill>
          <w:woUserID w:val="2"/>
        </w:rPr>
        <w:t>铁公机水</w:t>
      </w:r>
      <w:r>
        <w:rPr>
          <w:rFonts w:hint="eastAsia" w:ascii="仿宋" w:hAnsi="仿宋" w:eastAsia="仿宋" w:cs="仿宋"/>
          <w:color w:val="000000" w:themeColor="text1"/>
          <w:highlight w:val="none"/>
          <w14:textFill>
            <w14:solidFill>
              <w14:schemeClr w14:val="tx1"/>
            </w14:solidFill>
          </w14:textFill>
        </w:rPr>
        <w:t>”立体交通网络和陆港型国家物流枢纽优势，完善多式联运体系，</w:t>
      </w:r>
      <w:r>
        <w:rPr>
          <w:rFonts w:hint="eastAsia" w:ascii="仿宋" w:hAnsi="仿宋" w:eastAsia="仿宋" w:cs="仿宋"/>
          <w:color w:val="000000" w:themeColor="text1"/>
          <w:highlight w:val="none"/>
          <w:lang w:eastAsia="zh"/>
          <w14:textFill>
            <w14:solidFill>
              <w14:schemeClr w14:val="tx1"/>
            </w14:solidFill>
          </w14:textFill>
          <w:woUserID w:val="2"/>
        </w:rPr>
        <w:t>构建供需匹配、安全高效、智慧绿色的现代物流运行体系，增强对三江平原及向北开放的物流辐射能力。</w:t>
      </w:r>
    </w:p>
    <w:p w14:paraId="35FF8A88">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对俄开放合作产业承载区。</w:t>
      </w:r>
      <w:r>
        <w:rPr>
          <w:rFonts w:hint="eastAsia" w:ascii="仿宋" w:hAnsi="仿宋" w:eastAsia="仿宋" w:cs="仿宋"/>
          <w:color w:val="000000" w:themeColor="text1"/>
          <w:highlight w:val="none"/>
          <w14:textFill>
            <w14:solidFill>
              <w14:schemeClr w14:val="tx1"/>
            </w14:solidFill>
          </w14:textFill>
        </w:rPr>
        <w:t>抢抓向北开放机遇，积极搭建中俄产业合作桥梁，重点承接</w:t>
      </w:r>
      <w:r>
        <w:rPr>
          <w:rFonts w:hint="eastAsia" w:ascii="仿宋" w:hAnsi="仿宋" w:eastAsia="仿宋" w:cs="仿宋"/>
          <w:color w:val="000000" w:themeColor="text1"/>
          <w:highlight w:val="none"/>
          <w:lang w:eastAsia="zh"/>
          <w14:textFill>
            <w14:solidFill>
              <w14:schemeClr w14:val="tx1"/>
            </w14:solidFill>
          </w14:textFill>
          <w:woUserID w:val="2"/>
        </w:rPr>
        <w:t>资源开发</w:t>
      </w:r>
      <w:r>
        <w:rPr>
          <w:rFonts w:hint="eastAsia" w:ascii="仿宋" w:hAnsi="仿宋" w:eastAsia="仿宋" w:cs="仿宋"/>
          <w:color w:val="000000" w:themeColor="text1"/>
          <w:highlight w:val="none"/>
          <w14:textFill>
            <w14:solidFill>
              <w14:schemeClr w14:val="tx1"/>
            </w14:solidFill>
          </w14:textFill>
        </w:rPr>
        <w:t>、农产品精深加工、高端装备制造等面向俄罗斯及东北亚市场的产业项目，建设开放型经济产业集聚区。</w:t>
      </w:r>
    </w:p>
    <w:p w14:paraId="35FF8A89">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产城融合示范区。</w:t>
      </w:r>
      <w:r>
        <w:rPr>
          <w:rFonts w:hint="eastAsia" w:ascii="仿宋" w:hAnsi="仿宋" w:eastAsia="仿宋" w:cs="仿宋"/>
          <w:color w:val="000000" w:themeColor="text1"/>
          <w:highlight w:val="none"/>
          <w:lang w:eastAsia="zh"/>
          <w14:textFill>
            <w14:solidFill>
              <w14:schemeClr w14:val="tx1"/>
            </w14:solidFill>
          </w14:textFill>
          <w:woUserID w:val="2"/>
        </w:rPr>
        <w:t>密切与高新区的协同发展，</w:t>
      </w:r>
      <w:r>
        <w:rPr>
          <w:rFonts w:hint="eastAsia" w:ascii="仿宋" w:hAnsi="仿宋" w:eastAsia="仿宋" w:cs="仿宋"/>
          <w:color w:val="000000" w:themeColor="text1"/>
          <w:highlight w:val="none"/>
          <w14:textFill>
            <w14:solidFill>
              <w14:schemeClr w14:val="tx1"/>
            </w14:solidFill>
          </w14:textFill>
        </w:rPr>
        <w:t>推进规划布局、基础设施、公共服务、生态环境“四个一体化”建设，统筹产业</w:t>
      </w:r>
      <w:r>
        <w:rPr>
          <w:rFonts w:hint="eastAsia" w:ascii="仿宋" w:hAnsi="仿宋" w:eastAsia="仿宋" w:cs="仿宋"/>
          <w:color w:val="000000" w:themeColor="text1"/>
          <w:highlight w:val="none"/>
          <w:lang w:val="en-US" w:eastAsia="zh-CN"/>
          <w14:textFill>
            <w14:solidFill>
              <w14:schemeClr w14:val="tx1"/>
            </w14:solidFill>
          </w14:textFill>
        </w:rPr>
        <w:t>分布</w:t>
      </w:r>
      <w:r>
        <w:rPr>
          <w:rFonts w:hint="eastAsia" w:ascii="仿宋" w:hAnsi="仿宋" w:eastAsia="仿宋" w:cs="仿宋"/>
          <w:color w:val="000000" w:themeColor="text1"/>
          <w:highlight w:val="none"/>
          <w14:textFill>
            <w14:solidFill>
              <w14:schemeClr w14:val="tx1"/>
            </w14:solidFill>
          </w14:textFill>
        </w:rPr>
        <w:t>与城市功能区规划，实现生产、生活、生态空间有机融合，建设创新、宜居、韧性、智慧的现代化城区。</w:t>
      </w:r>
    </w:p>
    <w:p w14:paraId="35FF8A8A">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14:textFill>
            <w14:solidFill>
              <w14:schemeClr w14:val="tx1"/>
            </w14:solidFill>
          </w14:textFill>
        </w:rPr>
      </w:pPr>
      <w:bookmarkStart w:id="13" w:name="_Toc17959"/>
      <w:r>
        <w:rPr>
          <w:rFonts w:hint="eastAsia" w:ascii="楷体" w:hAnsi="楷体" w:eastAsia="楷体" w:cs="楷体"/>
          <w:color w:val="000000" w:themeColor="text1"/>
          <w:highlight w:val="none"/>
          <w:lang w:eastAsia="zh"/>
          <w14:textFill>
            <w14:solidFill>
              <w14:schemeClr w14:val="tx1"/>
            </w14:solidFill>
          </w14:textFill>
          <w:woUserID w:val="1"/>
        </w:rPr>
        <w:t>第</w:t>
      </w:r>
      <w:r>
        <w:rPr>
          <w:rFonts w:hint="eastAsia" w:ascii="楷体" w:hAnsi="楷体" w:eastAsia="楷体" w:cs="楷体"/>
          <w:color w:val="000000" w:themeColor="text1"/>
          <w:highlight w:val="none"/>
          <w:lang w:val="en-US" w:eastAsia="zh-CN"/>
          <w14:textFill>
            <w14:solidFill>
              <w14:schemeClr w14:val="tx1"/>
            </w14:solidFill>
          </w14:textFill>
          <w:woUserID w:val="1"/>
        </w:rPr>
        <w:t>七</w:t>
      </w:r>
      <w:r>
        <w:rPr>
          <w:rFonts w:hint="eastAsia" w:ascii="楷体" w:hAnsi="楷体" w:eastAsia="楷体" w:cs="楷体"/>
          <w:color w:val="000000" w:themeColor="text1"/>
          <w:highlight w:val="none"/>
          <w:lang w:eastAsia="zh"/>
          <w14:textFill>
            <w14:solidFill>
              <w14:schemeClr w14:val="tx1"/>
            </w14:solidFill>
          </w14:textFill>
          <w:woUserID w:val="1"/>
        </w:rPr>
        <w:t>章 “十五五”时期经济社会发展的</w:t>
      </w:r>
      <w:r>
        <w:rPr>
          <w:rFonts w:hint="eastAsia" w:ascii="楷体" w:hAnsi="楷体" w:eastAsia="楷体" w:cs="楷体"/>
          <w:color w:val="000000" w:themeColor="text1"/>
          <w:highlight w:val="none"/>
          <w14:textFill>
            <w14:solidFill>
              <w14:schemeClr w14:val="tx1"/>
            </w14:solidFill>
          </w14:textFill>
        </w:rPr>
        <w:t>主要目标</w:t>
      </w:r>
      <w:bookmarkEnd w:id="13"/>
    </w:p>
    <w:p w14:paraId="468BE2F0">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准确把握“十五五”时期的阶段性要求，立足“十五五”发展定位，加快推进经济社会高质量发展。到2030年，新时代社会主义现代化强</w:t>
      </w:r>
      <w:r>
        <w:rPr>
          <w:rFonts w:hint="eastAsia" w:ascii="仿宋" w:hAnsi="仿宋" w:eastAsia="仿宋" w:cs="仿宋"/>
          <w:color w:val="000000" w:themeColor="text1"/>
          <w:highlight w:val="none"/>
          <w:lang w:val="en-US" w:eastAsia="zh-CN"/>
          <w14:textFill>
            <w14:solidFill>
              <w14:schemeClr w14:val="tx1"/>
            </w14:solidFill>
          </w14:textFill>
        </w:rPr>
        <w:t>区</w:t>
      </w:r>
      <w:r>
        <w:rPr>
          <w:rFonts w:hint="eastAsia" w:ascii="仿宋" w:hAnsi="仿宋" w:eastAsia="仿宋" w:cs="仿宋"/>
          <w:color w:val="000000" w:themeColor="text1"/>
          <w:highlight w:val="none"/>
          <w14:textFill>
            <w14:solidFill>
              <w14:schemeClr w14:val="tx1"/>
            </w14:solidFill>
          </w14:textFill>
        </w:rPr>
        <w:t>建设实现新的跨越发展，全面振兴取得重大进展。</w:t>
      </w:r>
    </w:p>
    <w:p w14:paraId="79E90DE1">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woUserID w:val="2"/>
        </w:rPr>
        <w:t>高质量发展形成新跨越。</w:t>
      </w:r>
      <w:r>
        <w:rPr>
          <w:rFonts w:hint="eastAsia" w:ascii="仿宋" w:hAnsi="仿宋" w:eastAsia="仿宋" w:cs="仿宋"/>
          <w:color w:val="000000" w:themeColor="text1"/>
          <w:highlight w:val="none"/>
          <w:lang w:eastAsia="zh"/>
          <w14:textFill>
            <w14:solidFill>
              <w14:schemeClr w14:val="tx1"/>
            </w14:solidFill>
          </w14:textFill>
          <w:woUserID w:val="2"/>
        </w:rPr>
        <w:t>经济保持中高速增长，经济增长潜力充分释放，到</w:t>
      </w:r>
      <w:r>
        <w:rPr>
          <w:rFonts w:hint="eastAsia" w:ascii="仿宋" w:hAnsi="仿宋" w:eastAsia="仿宋" w:cs="仿宋"/>
          <w:color w:val="000000" w:themeColor="text1"/>
          <w:highlight w:val="none"/>
          <w:lang w:val="en-US" w:eastAsia="zh-CN"/>
          <w14:textFill>
            <w14:solidFill>
              <w14:schemeClr w14:val="tx1"/>
            </w14:solidFill>
          </w14:textFill>
          <w:woUserID w:val="2"/>
        </w:rPr>
        <w:t>2030</w:t>
      </w:r>
      <w:r>
        <w:rPr>
          <w:rFonts w:hint="eastAsia" w:ascii="仿宋" w:hAnsi="仿宋" w:eastAsia="仿宋" w:cs="仿宋"/>
          <w:color w:val="000000" w:themeColor="text1"/>
          <w:highlight w:val="none"/>
          <w:lang w:eastAsia="zh"/>
          <w14:textFill>
            <w14:solidFill>
              <w14:schemeClr w14:val="tx1"/>
            </w14:solidFill>
          </w14:textFill>
          <w:woUserID w:val="2"/>
        </w:rPr>
        <w:t>年，GDP年均增长</w:t>
      </w:r>
      <w:r>
        <w:rPr>
          <w:rFonts w:hint="eastAsia" w:ascii="仿宋" w:hAnsi="仿宋" w:eastAsia="仿宋" w:cs="仿宋"/>
          <w:color w:val="000000" w:themeColor="text1"/>
          <w:highlight w:val="none"/>
          <w:lang w:val="en-US" w:eastAsia="zh-CN"/>
          <w14:textFill>
            <w14:solidFill>
              <w14:schemeClr w14:val="tx1"/>
            </w14:solidFill>
          </w14:textFill>
          <w:woUserID w:val="2"/>
        </w:rPr>
        <w:t>5.5</w:t>
      </w:r>
      <w:r>
        <w:rPr>
          <w:rFonts w:hint="eastAsia" w:ascii="仿宋" w:hAnsi="仿宋" w:eastAsia="仿宋" w:cs="仿宋"/>
          <w:color w:val="000000" w:themeColor="text1"/>
          <w:highlight w:val="none"/>
          <w:lang w:eastAsia="zh"/>
          <w14:textFill>
            <w14:solidFill>
              <w14:schemeClr w14:val="tx1"/>
            </w14:solidFill>
          </w14:textFill>
          <w:woUserID w:val="2"/>
        </w:rPr>
        <w:t>%左右。发展质量效益明显提高，粮食综合生产能力持续提升，居民消费水平持续提升，有效投资对经济发展的支撑作用、扩大消费对经济发展的推动作用持续增强，新型工业化、信息化、城镇化、农业现代化取得重大进展，因地制宜发展新质生产力、融入和服务新发展格局、建设具有特色优势的现代化产业体系取得重大突破。</w:t>
      </w:r>
    </w:p>
    <w:p w14:paraId="1436AEBE">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woUserID w:val="2"/>
        </w:rPr>
        <w:t>科技创新能力迈上新台阶。</w:t>
      </w:r>
      <w:r>
        <w:rPr>
          <w:rFonts w:hint="eastAsia" w:ascii="仿宋" w:hAnsi="仿宋" w:eastAsia="仿宋" w:cs="仿宋"/>
          <w:color w:val="000000" w:themeColor="text1"/>
          <w:highlight w:val="none"/>
          <w:lang w:eastAsia="zh"/>
          <w14:textFill>
            <w14:solidFill>
              <w14:schemeClr w14:val="tx1"/>
            </w14:solidFill>
          </w14:textFill>
          <w:woUserID w:val="2"/>
        </w:rPr>
        <w:t>教育、科技、人才一体化发展格局基本形成，全社会研发经费投入强度持续提升。科技创新与产业创新深度融合，科技成果本地转化率显著提高，在寒地粳稻育种、智能装备、关键新材料等领域突破一批核心技术，初步建成区域创新高地。</w:t>
      </w:r>
    </w:p>
    <w:p w14:paraId="21EDE412">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woUserID w:val="2"/>
        </w:rPr>
        <w:t>改革开放迈出新步伐。</w:t>
      </w:r>
      <w:r>
        <w:rPr>
          <w:rFonts w:hint="eastAsia" w:ascii="仿宋" w:hAnsi="仿宋" w:eastAsia="仿宋" w:cs="仿宋"/>
          <w:color w:val="000000" w:themeColor="text1"/>
          <w:highlight w:val="none"/>
          <w:lang w:eastAsia="zh"/>
          <w14:textFill>
            <w14:solidFill>
              <w14:schemeClr w14:val="tx1"/>
            </w14:solidFill>
          </w14:textFill>
          <w:woUserID w:val="2"/>
        </w:rPr>
        <w:t>重点领域和关键环节改革取得突破性进展，市场化、法治化、国际化营商环境达到一流水平。对俄合作机制持续创新，外贸进出口与实际利用外资规模稳步扩大</w:t>
      </w:r>
      <w:r>
        <w:rPr>
          <w:rFonts w:hint="eastAsia" w:ascii="仿宋" w:hAnsi="仿宋" w:eastAsia="仿宋" w:cs="仿宋"/>
          <w:color w:val="000000" w:themeColor="text1"/>
          <w:highlight w:val="none"/>
          <w:lang w:eastAsia="zh-CN"/>
          <w14:textFill>
            <w14:solidFill>
              <w14:schemeClr w14:val="tx1"/>
            </w14:solidFill>
          </w14:textFill>
          <w:woUserID w:val="2"/>
        </w:rPr>
        <w:t>，外贸进出口总额年均增长5%以上</w:t>
      </w:r>
      <w:r>
        <w:rPr>
          <w:rFonts w:hint="eastAsia" w:ascii="仿宋" w:hAnsi="仿宋" w:eastAsia="仿宋" w:cs="仿宋"/>
          <w:color w:val="000000" w:themeColor="text1"/>
          <w:highlight w:val="none"/>
          <w:lang w:eastAsia="zh"/>
          <w14:textFill>
            <w14:solidFill>
              <w14:schemeClr w14:val="tx1"/>
            </w14:solidFill>
          </w14:textFill>
          <w:woUserID w:val="2"/>
        </w:rPr>
        <w:t>。陆港型国家物流枢纽功能全面增强，在我省建设向北开放新高地中的地位作用显著提升。</w:t>
      </w:r>
    </w:p>
    <w:p w14:paraId="7FC2D1AC">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woUserID w:val="2"/>
        </w:rPr>
        <w:t>文化发展呈现新气象。</w:t>
      </w:r>
      <w:r>
        <w:rPr>
          <w:rFonts w:hint="eastAsia" w:ascii="仿宋" w:hAnsi="仿宋" w:eastAsia="仿宋" w:cs="仿宋"/>
          <w:color w:val="000000" w:themeColor="text1"/>
          <w:highlight w:val="none"/>
          <w:lang w:eastAsia="zh"/>
          <w14:textFill>
            <w14:solidFill>
              <w14:schemeClr w14:val="tx1"/>
            </w14:solidFill>
          </w14:textFill>
          <w:woUserID w:val="2"/>
        </w:rPr>
        <w:t>社会主义核心价值观深入人心，城市文化软实力和影响力显著提升。公共文化服务体系更加健全，文旅深度融合发展取得突破，群众精神文化生活更加丰富多彩，社会文明风尚更加浓郁，形成独具东风特色的文化标识。</w:t>
      </w:r>
    </w:p>
    <w:p w14:paraId="3D11BB68">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woUserID w:val="2"/>
        </w:rPr>
        <w:t>民生福祉达到新水平。</w:t>
      </w:r>
      <w:r>
        <w:rPr>
          <w:rFonts w:hint="eastAsia" w:ascii="仿宋" w:hAnsi="仿宋" w:eastAsia="仿宋" w:cs="仿宋"/>
          <w:color w:val="000000" w:themeColor="text1"/>
          <w:highlight w:val="none"/>
          <w:lang w:eastAsia="zh"/>
          <w14:textFill>
            <w14:solidFill>
              <w14:schemeClr w14:val="tx1"/>
            </w14:solidFill>
          </w14:textFill>
          <w:woUserID w:val="2"/>
        </w:rPr>
        <w:t>实现更加充分更高质量就业，城镇调查失业率控制在合理区间。居民人均可支配收入增速</w:t>
      </w:r>
      <w:r>
        <w:rPr>
          <w:rFonts w:hint="eastAsia" w:ascii="仿宋" w:hAnsi="仿宋" w:eastAsia="仿宋" w:cs="仿宋"/>
          <w:color w:val="000000" w:themeColor="text1"/>
          <w:highlight w:val="none"/>
          <w:lang w:val="en-US" w:eastAsia="zh-CN"/>
          <w14:textFill>
            <w14:solidFill>
              <w14:schemeClr w14:val="tx1"/>
            </w14:solidFill>
          </w14:textFill>
          <w:woUserID w:val="2"/>
        </w:rPr>
        <w:t>与经济增长保持同步</w:t>
      </w:r>
      <w:r>
        <w:rPr>
          <w:rFonts w:hint="eastAsia" w:ascii="仿宋" w:hAnsi="仿宋" w:eastAsia="仿宋" w:cs="仿宋"/>
          <w:color w:val="000000" w:themeColor="text1"/>
          <w:highlight w:val="none"/>
          <w:lang w:eastAsia="zh-CN"/>
          <w14:textFill>
            <w14:solidFill>
              <w14:schemeClr w14:val="tx1"/>
            </w14:solidFill>
          </w14:textFill>
          <w:woUserID w:val="2"/>
        </w:rPr>
        <w:t>，</w:t>
      </w:r>
      <w:r>
        <w:rPr>
          <w:rFonts w:hint="eastAsia" w:ascii="仿宋" w:hAnsi="仿宋" w:eastAsia="仿宋" w:cs="仿宋"/>
          <w:color w:val="000000" w:themeColor="text1"/>
          <w:highlight w:val="none"/>
          <w:lang w:eastAsia="zh"/>
          <w14:textFill>
            <w14:solidFill>
              <w14:schemeClr w14:val="tx1"/>
            </w14:solidFill>
          </w14:textFill>
          <w:woUserID w:val="2"/>
        </w:rPr>
        <w:t>中等收入群体持续扩大。“一老一小”服务体系更加完善，教育、医疗、养老、住房等基本公共服务均等化水平明显提升，人民群众获得感幸福感安全感更加可感可及，人均预期寿命达到80.</w:t>
      </w:r>
      <w:r>
        <w:rPr>
          <w:rFonts w:hint="eastAsia" w:ascii="仿宋" w:hAnsi="仿宋" w:eastAsia="仿宋" w:cs="仿宋"/>
          <w:color w:val="000000" w:themeColor="text1"/>
          <w:highlight w:val="none"/>
          <w:lang w:val="en-US" w:eastAsia="zh-CN"/>
          <w14:textFill>
            <w14:solidFill>
              <w14:schemeClr w14:val="tx1"/>
            </w14:solidFill>
          </w14:textFill>
          <w:woUserID w:val="2"/>
        </w:rPr>
        <w:t>43</w:t>
      </w:r>
      <w:r>
        <w:rPr>
          <w:rFonts w:hint="eastAsia" w:ascii="仿宋" w:hAnsi="仿宋" w:eastAsia="仿宋" w:cs="仿宋"/>
          <w:color w:val="000000" w:themeColor="text1"/>
          <w:highlight w:val="none"/>
          <w:lang w:eastAsia="zh"/>
          <w14:textFill>
            <w14:solidFill>
              <w14:schemeClr w14:val="tx1"/>
            </w14:solidFill>
          </w14:textFill>
          <w:woUserID w:val="2"/>
        </w:rPr>
        <w:t>岁。</w:t>
      </w:r>
    </w:p>
    <w:p w14:paraId="6167A000">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woUserID w:val="2"/>
        </w:rPr>
        <w:t>美丽东风展现新面貌。</w:t>
      </w:r>
      <w:r>
        <w:rPr>
          <w:rFonts w:hint="eastAsia" w:ascii="仿宋" w:hAnsi="仿宋" w:eastAsia="仿宋" w:cs="仿宋"/>
          <w:color w:val="000000" w:themeColor="text1"/>
          <w:highlight w:val="none"/>
          <w:lang w:eastAsia="zh"/>
          <w14:textFill>
            <w14:solidFill>
              <w14:schemeClr w14:val="tx1"/>
            </w14:solidFill>
          </w14:textFill>
          <w:woUserID w:val="2"/>
        </w:rPr>
        <w:t>生产生活方式绿色转型成效显著，能源资源利用效率大幅提升。主要污染物排放总量持续减少，空气质量、水环境质量稳定改善，生态系统稳定性不断增强，城乡人居环境更加优美宜居，美丽东风建设取得标志性进展。</w:t>
      </w:r>
    </w:p>
    <w:p w14:paraId="4DEB065B">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woUserID w:val="2"/>
        </w:rPr>
        <w:t>治理效能得到新提升。</w:t>
      </w:r>
      <w:r>
        <w:rPr>
          <w:rFonts w:hint="eastAsia" w:ascii="仿宋" w:hAnsi="仿宋" w:eastAsia="仿宋" w:cs="仿宋"/>
          <w:color w:val="000000" w:themeColor="text1"/>
          <w:highlight w:val="none"/>
          <w:lang w:eastAsia="zh"/>
          <w14:textFill>
            <w14:solidFill>
              <w14:schemeClr w14:val="tx1"/>
            </w14:solidFill>
          </w14:textFill>
          <w:woUserID w:val="2"/>
        </w:rPr>
        <w:t>发展安全保障更加有力，防范化解重大风险能力显著增强。基层治理现代化水平不断提高，民主法治更加健全，社会公平正义充分彰显，公众安全感持续</w:t>
      </w:r>
      <w:r>
        <w:rPr>
          <w:rFonts w:hint="eastAsia" w:ascii="仿宋" w:hAnsi="仿宋" w:eastAsia="仿宋" w:cs="仿宋"/>
          <w:color w:val="000000" w:themeColor="text1"/>
          <w:highlight w:val="none"/>
          <w:lang w:val="en-US" w:eastAsia="zh-CN"/>
          <w14:textFill>
            <w14:solidFill>
              <w14:schemeClr w14:val="tx1"/>
            </w14:solidFill>
          </w14:textFill>
          <w:woUserID w:val="2"/>
        </w:rPr>
        <w:t>提高</w:t>
      </w:r>
      <w:r>
        <w:rPr>
          <w:rFonts w:hint="eastAsia" w:ascii="仿宋" w:hAnsi="仿宋" w:eastAsia="仿宋" w:cs="仿宋"/>
          <w:color w:val="000000" w:themeColor="text1"/>
          <w:highlight w:val="none"/>
          <w:lang w:eastAsia="zh"/>
          <w14:textFill>
            <w14:solidFill>
              <w14:schemeClr w14:val="tx1"/>
            </w14:solidFill>
          </w14:textFill>
          <w:woUserID w:val="2"/>
        </w:rPr>
        <w:t>，更高水平的平安东风、法治东风建设扎实推进。</w:t>
      </w:r>
    </w:p>
    <w:p w14:paraId="4BDEDDCD">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eastAsia="zh"/>
          <w14:textFill>
            <w14:solidFill>
              <w14:schemeClr w14:val="tx1"/>
            </w14:solidFill>
          </w14:textFill>
          <w:woUserID w:val="2"/>
        </w:rPr>
        <w:t>良好政治生态呈现新气象。</w:t>
      </w:r>
      <w:r>
        <w:rPr>
          <w:rFonts w:hint="eastAsia" w:ascii="仿宋" w:hAnsi="仿宋" w:eastAsia="仿宋" w:cs="仿宋"/>
          <w:color w:val="000000" w:themeColor="text1"/>
          <w:highlight w:val="none"/>
          <w:lang w:eastAsia="zh"/>
          <w14:textFill>
            <w14:solidFill>
              <w14:schemeClr w14:val="tx1"/>
            </w14:solidFill>
          </w14:textFill>
          <w:woUserID w:val="2"/>
        </w:rPr>
        <w:t>党的领导和党的建设全面加强，各级党组织和党员干部政治判断力、政治领悟力、政治执行力不断提高，全面从严治党体系进一步健全，权力监督、执法执纪、风腐同查同治机制进一步完善，反腐败治理综合效能不断显现，干部队伍纪律规矩意识显著增强、能力作风全面提升、干事创业动力更加强劲，勤廉文化深入人心，社会新风正气更加充盈。</w:t>
      </w:r>
    </w:p>
    <w:p w14:paraId="74BD1BB3">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color w:val="000000" w:themeColor="text1"/>
          <w:highlight w:val="none"/>
          <w:lang w:eastAsia="zh"/>
          <w14:textFill>
            <w14:solidFill>
              <w14:schemeClr w14:val="tx1"/>
            </w14:solidFill>
          </w14:textFill>
          <w:woUserID w:val="2"/>
        </w:rPr>
        <w:t>在此基础上再奋斗五年，到二</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highlight w:val="none"/>
          <w:lang w:eastAsia="zh"/>
          <w14:textFill>
            <w14:solidFill>
              <w14:schemeClr w14:val="tx1"/>
            </w14:solidFill>
          </w14:textFill>
          <w:woUserID w:val="2"/>
        </w:rPr>
        <w:t>三五年，我</w:t>
      </w:r>
      <w:r>
        <w:rPr>
          <w:rFonts w:hint="eastAsia" w:ascii="仿宋" w:hAnsi="仿宋" w:eastAsia="仿宋" w:cs="仿宋"/>
          <w:color w:val="000000" w:themeColor="text1"/>
          <w:highlight w:val="none"/>
          <w:lang w:val="en-US" w:eastAsia="zh-CN"/>
          <w14:textFill>
            <w14:solidFill>
              <w14:schemeClr w14:val="tx1"/>
            </w14:solidFill>
          </w14:textFill>
          <w:woUserID w:val="2"/>
        </w:rPr>
        <w:t>区</w:t>
      </w:r>
      <w:r>
        <w:rPr>
          <w:rFonts w:hint="eastAsia" w:ascii="仿宋" w:hAnsi="仿宋" w:eastAsia="仿宋" w:cs="仿宋"/>
          <w:color w:val="000000" w:themeColor="text1"/>
          <w:highlight w:val="none"/>
          <w:lang w:eastAsia="zh"/>
          <w14:textFill>
            <w14:solidFill>
              <w14:schemeClr w14:val="tx1"/>
            </w14:solidFill>
          </w14:textFill>
          <w:woUserID w:val="2"/>
        </w:rPr>
        <w:t>经济实力、科技实力、综合实力取得新突破新跨越，与全国同步基本实现社会主义现代化，在全省</w:t>
      </w:r>
      <w:r>
        <w:rPr>
          <w:rFonts w:hint="eastAsia" w:ascii="仿宋" w:hAnsi="仿宋" w:eastAsia="仿宋" w:cs="仿宋"/>
          <w:color w:val="000000" w:themeColor="text1"/>
          <w:highlight w:val="none"/>
          <w:lang w:eastAsia="zh-CN"/>
          <w14:textFill>
            <w14:solidFill>
              <w14:schemeClr w14:val="tx1"/>
            </w14:solidFill>
          </w14:textFill>
          <w:woUserID w:val="2"/>
        </w:rPr>
        <w:t>、</w:t>
      </w:r>
      <w:r>
        <w:rPr>
          <w:rFonts w:hint="eastAsia" w:ascii="仿宋" w:hAnsi="仿宋" w:eastAsia="仿宋" w:cs="仿宋"/>
          <w:color w:val="000000" w:themeColor="text1"/>
          <w:highlight w:val="none"/>
          <w:lang w:val="en-US" w:eastAsia="zh-CN"/>
          <w14:textFill>
            <w14:solidFill>
              <w14:schemeClr w14:val="tx1"/>
            </w14:solidFill>
          </w14:textFill>
          <w:woUserID w:val="2"/>
        </w:rPr>
        <w:t>全市</w:t>
      </w:r>
      <w:r>
        <w:rPr>
          <w:rFonts w:hint="eastAsia" w:ascii="仿宋" w:hAnsi="仿宋" w:eastAsia="仿宋" w:cs="仿宋"/>
          <w:color w:val="000000" w:themeColor="text1"/>
          <w:highlight w:val="none"/>
          <w:lang w:eastAsia="zh"/>
          <w14:textFill>
            <w14:solidFill>
              <w14:schemeClr w14:val="tx1"/>
            </w14:solidFill>
          </w14:textFill>
          <w:woUserID w:val="2"/>
        </w:rPr>
        <w:t>发展大局中的地位更加彰显，形成发展质量更高、创新能力更强、营商环境更</w:t>
      </w:r>
      <w:r>
        <w:rPr>
          <w:rFonts w:hint="eastAsia" w:ascii="仿宋" w:hAnsi="仿宋" w:eastAsia="仿宋" w:cs="仿宋"/>
          <w:color w:val="000000" w:themeColor="text1"/>
          <w:highlight w:val="none"/>
          <w:lang w:val="en-US" w:eastAsia="zh-CN"/>
          <w14:textFill>
            <w14:solidFill>
              <w14:schemeClr w14:val="tx1"/>
            </w14:solidFill>
          </w14:textFill>
          <w:woUserID w:val="2"/>
        </w:rPr>
        <w:t>优</w:t>
      </w:r>
      <w:r>
        <w:rPr>
          <w:rFonts w:hint="eastAsia" w:ascii="仿宋" w:hAnsi="仿宋" w:eastAsia="仿宋" w:cs="仿宋"/>
          <w:color w:val="000000" w:themeColor="text1"/>
          <w:highlight w:val="none"/>
          <w:lang w:eastAsia="zh"/>
          <w14:textFill>
            <w14:solidFill>
              <w14:schemeClr w14:val="tx1"/>
            </w14:solidFill>
          </w14:textFill>
          <w:woUserID w:val="2"/>
        </w:rPr>
        <w:t>、动力活力更足、生态环境更</w:t>
      </w:r>
      <w:r>
        <w:rPr>
          <w:rFonts w:hint="eastAsia" w:ascii="仿宋" w:hAnsi="仿宋" w:eastAsia="仿宋" w:cs="仿宋"/>
          <w:color w:val="000000" w:themeColor="text1"/>
          <w:highlight w:val="none"/>
          <w:lang w:val="en-US" w:eastAsia="zh-CN"/>
          <w14:textFill>
            <w14:solidFill>
              <w14:schemeClr w14:val="tx1"/>
            </w14:solidFill>
          </w14:textFill>
          <w:woUserID w:val="2"/>
        </w:rPr>
        <w:t>好</w:t>
      </w:r>
      <w:r>
        <w:rPr>
          <w:rFonts w:hint="eastAsia" w:ascii="仿宋" w:hAnsi="仿宋" w:eastAsia="仿宋" w:cs="仿宋"/>
          <w:color w:val="000000" w:themeColor="text1"/>
          <w:highlight w:val="none"/>
          <w:lang w:eastAsia="zh"/>
          <w14:textFill>
            <w14:solidFill>
              <w14:schemeClr w14:val="tx1"/>
            </w14:solidFill>
          </w14:textFill>
          <w:woUserID w:val="2"/>
        </w:rPr>
        <w:t>、人民生活更幸福的现代化</w:t>
      </w:r>
      <w:r>
        <w:rPr>
          <w:rFonts w:hint="eastAsia" w:ascii="仿宋" w:hAnsi="仿宋" w:eastAsia="仿宋" w:cs="仿宋"/>
          <w:color w:val="000000" w:themeColor="text1"/>
          <w:highlight w:val="none"/>
          <w:lang w:val="en-US" w:eastAsia="zh-CN"/>
          <w14:textFill>
            <w14:solidFill>
              <w14:schemeClr w14:val="tx1"/>
            </w14:solidFill>
          </w14:textFill>
          <w:woUserID w:val="2"/>
        </w:rPr>
        <w:t>东风区</w:t>
      </w:r>
      <w:r>
        <w:rPr>
          <w:rFonts w:hint="eastAsia" w:ascii="仿宋" w:hAnsi="仿宋" w:eastAsia="仿宋" w:cs="仿宋"/>
          <w:color w:val="000000" w:themeColor="text1"/>
          <w:highlight w:val="none"/>
          <w:lang w:eastAsia="zh"/>
          <w14:textFill>
            <w14:solidFill>
              <w14:schemeClr w14:val="tx1"/>
            </w14:solidFill>
          </w14:textFill>
          <w:woUserID w:val="2"/>
        </w:rPr>
        <w:t>新局面。</w:t>
      </w:r>
    </w:p>
    <w:tbl>
      <w:tblPr>
        <w:tblStyle w:val="17"/>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4535"/>
        <w:gridCol w:w="932"/>
        <w:gridCol w:w="932"/>
        <w:gridCol w:w="1247"/>
        <w:gridCol w:w="816"/>
      </w:tblGrid>
      <w:tr w14:paraId="3A18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120" w:type="dxa"/>
            <w:gridSpan w:val="6"/>
            <w:tcBorders>
              <w:top w:val="single" w:color="auto" w:sz="4" w:space="0"/>
            </w:tcBorders>
            <w:vAlign w:val="center"/>
          </w:tcPr>
          <w:p w14:paraId="229C7BE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黑体" w:cs="Times New Roman"/>
                <w:b/>
                <w:bCs/>
                <w:color w:val="000000" w:themeColor="text1"/>
                <w:sz w:val="22"/>
                <w:szCs w:val="22"/>
                <w:highlight w:val="none"/>
                <w:lang w:val="en-US" w:eastAsia="zh-CN"/>
                <w14:textFill>
                  <w14:solidFill>
                    <w14:schemeClr w14:val="tx1"/>
                  </w14:solidFill>
                </w14:textFill>
              </w:rPr>
            </w:pPr>
            <w:r>
              <w:rPr>
                <w:rFonts w:hint="eastAsia" w:eastAsia="黑体" w:cs="Times New Roman"/>
                <w:color w:val="000000" w:themeColor="text1"/>
                <w:sz w:val="24"/>
                <w:szCs w:val="24"/>
                <w:highlight w:val="none"/>
                <w:lang w:val="en-US" w:eastAsia="zh-CN"/>
                <w14:textFill>
                  <w14:solidFill>
                    <w14:schemeClr w14:val="tx1"/>
                  </w14:solidFill>
                </w14:textFill>
              </w:rPr>
              <w:t>专栏2</w:t>
            </w:r>
            <w:r>
              <w:rPr>
                <w:rFonts w:hint="eastAsia" w:ascii="Times New Roman" w:hAnsi="Times New Roman" w:eastAsia="黑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eastAsia" w:eastAsia="黑体" w:cs="Times New Roman"/>
                <w:color w:val="000000" w:themeColor="text1"/>
                <w:sz w:val="24"/>
                <w:szCs w:val="24"/>
                <w:highlight w:val="none"/>
                <w:lang w:eastAsia="zh-CN"/>
                <w14:textFill>
                  <w14:solidFill>
                    <w14:schemeClr w14:val="tx1"/>
                  </w14:solidFill>
                </w14:textFill>
              </w:rPr>
              <w:t>“</w:t>
            </w:r>
            <w:r>
              <w:rPr>
                <w:rFonts w:hint="eastAsia" w:eastAsia="黑体" w:cs="Times New Roman"/>
                <w:color w:val="000000" w:themeColor="text1"/>
                <w:sz w:val="24"/>
                <w:szCs w:val="24"/>
                <w:highlight w:val="none"/>
                <w:lang w:val="en-US" w:eastAsia="zh-CN"/>
                <w14:textFill>
                  <w14:solidFill>
                    <w14:schemeClr w14:val="tx1"/>
                  </w14:solidFill>
                </w14:textFill>
              </w:rPr>
              <w:t>十五五</w:t>
            </w:r>
            <w:r>
              <w:rPr>
                <w:rFonts w:hint="eastAsia" w:eastAsia="黑体" w:cs="Times New Roman"/>
                <w:color w:val="000000" w:themeColor="text1"/>
                <w:sz w:val="24"/>
                <w:szCs w:val="24"/>
                <w:highlight w:val="none"/>
                <w:lang w:eastAsia="zh-CN"/>
                <w14:textFill>
                  <w14:solidFill>
                    <w14:schemeClr w14:val="tx1"/>
                  </w14:solidFill>
                </w14:textFill>
              </w:rPr>
              <w:t>”</w:t>
            </w:r>
            <w:r>
              <w:rPr>
                <w:rFonts w:hint="eastAsia" w:eastAsia="黑体" w:cs="Times New Roman"/>
                <w:color w:val="000000" w:themeColor="text1"/>
                <w:sz w:val="24"/>
                <w:szCs w:val="24"/>
                <w:highlight w:val="none"/>
                <w:lang w:val="en-US" w:eastAsia="zh-CN"/>
                <w14:textFill>
                  <w14:solidFill>
                    <w14:schemeClr w14:val="tx1"/>
                  </w14:solidFill>
                </w14:textFill>
              </w:rPr>
              <w:t>规划指标体系</w:t>
            </w:r>
          </w:p>
        </w:tc>
      </w:tr>
      <w:tr w14:paraId="35FF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8" w:type="dxa"/>
            <w:tcBorders>
              <w:top w:val="single" w:color="auto" w:sz="4" w:space="0"/>
            </w:tcBorders>
            <w:vAlign w:val="center"/>
          </w:tcPr>
          <w:p w14:paraId="35FF8A9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cs="Times New Roman"/>
                <w:b/>
                <w:bCs/>
                <w:color w:val="000000" w:themeColor="text1"/>
                <w:kern w:val="0"/>
                <w:sz w:val="22"/>
                <w:szCs w:val="22"/>
                <w:highlight w:val="none"/>
                <w14:textFill>
                  <w14:solidFill>
                    <w14:schemeClr w14:val="tx1"/>
                  </w14:solidFill>
                </w14:textFill>
              </w:rPr>
            </w:pPr>
            <w:r>
              <w:rPr>
                <w:rFonts w:hint="default" w:ascii="Times New Roman" w:hAnsi="Times New Roman" w:cs="Times New Roman"/>
                <w:b/>
                <w:bCs/>
                <w:color w:val="000000" w:themeColor="text1"/>
                <w:kern w:val="0"/>
                <w:sz w:val="22"/>
                <w:szCs w:val="22"/>
                <w:highlight w:val="none"/>
                <w14:textFill>
                  <w14:solidFill>
                    <w14:schemeClr w14:val="tx1"/>
                  </w14:solidFill>
                </w14:textFill>
              </w:rPr>
              <w:t>分类</w:t>
            </w:r>
          </w:p>
        </w:tc>
        <w:tc>
          <w:tcPr>
            <w:tcW w:w="4535" w:type="dxa"/>
            <w:tcBorders>
              <w:top w:val="single" w:color="auto" w:sz="4" w:space="0"/>
            </w:tcBorders>
            <w:vAlign w:val="center"/>
          </w:tcPr>
          <w:p w14:paraId="35FF8A9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b/>
                <w:bCs/>
                <w:color w:val="000000" w:themeColor="text1"/>
                <w:kern w:val="0"/>
                <w:sz w:val="22"/>
                <w:szCs w:val="22"/>
                <w:highlight w:val="none"/>
                <w14:textFill>
                  <w14:solidFill>
                    <w14:schemeClr w14:val="tx1"/>
                  </w14:solidFill>
                </w14:textFill>
              </w:rPr>
            </w:pPr>
            <w:r>
              <w:rPr>
                <w:rFonts w:hint="default" w:ascii="Times New Roman" w:hAnsi="Times New Roman" w:eastAsia="楷体" w:cs="Times New Roman"/>
                <w:b/>
                <w:bCs/>
                <w:color w:val="000000" w:themeColor="text1"/>
                <w:kern w:val="0"/>
                <w:sz w:val="22"/>
                <w:szCs w:val="22"/>
                <w:highlight w:val="none"/>
                <w14:textFill>
                  <w14:solidFill>
                    <w14:schemeClr w14:val="tx1"/>
                  </w14:solidFill>
                </w14:textFill>
              </w:rPr>
              <w:t>指标</w:t>
            </w:r>
          </w:p>
        </w:tc>
        <w:tc>
          <w:tcPr>
            <w:tcW w:w="932" w:type="dxa"/>
            <w:tcBorders>
              <w:top w:val="single" w:color="auto" w:sz="4" w:space="0"/>
            </w:tcBorders>
            <w:vAlign w:val="center"/>
          </w:tcPr>
          <w:p w14:paraId="35FF8A9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2"/>
                <w:szCs w:val="22"/>
                <w:highlight w:val="none"/>
                <w14:textFill>
                  <w14:solidFill>
                    <w14:schemeClr w14:val="tx1"/>
                  </w14:solidFill>
                </w14:textFill>
              </w:rPr>
            </w:pPr>
            <w:r>
              <w:rPr>
                <w:rFonts w:hint="default" w:ascii="Times New Roman" w:hAnsi="Times New Roman" w:eastAsia="楷体" w:cs="Times New Roman"/>
                <w:b/>
                <w:bCs/>
                <w:color w:val="000000" w:themeColor="text1"/>
                <w:kern w:val="0"/>
                <w:sz w:val="22"/>
                <w:szCs w:val="22"/>
                <w:highlight w:val="none"/>
                <w14:textFill>
                  <w14:solidFill>
                    <w14:schemeClr w14:val="tx1"/>
                  </w14:solidFill>
                </w14:textFill>
              </w:rPr>
              <w:t>2025年</w:t>
            </w:r>
          </w:p>
        </w:tc>
        <w:tc>
          <w:tcPr>
            <w:tcW w:w="932" w:type="dxa"/>
            <w:tcBorders>
              <w:top w:val="single" w:color="auto" w:sz="4" w:space="0"/>
            </w:tcBorders>
            <w:vAlign w:val="center"/>
          </w:tcPr>
          <w:p w14:paraId="35FF8A9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sz w:val="22"/>
                <w:szCs w:val="22"/>
                <w:highlight w:val="none"/>
                <w14:textFill>
                  <w14:solidFill>
                    <w14:schemeClr w14:val="tx1"/>
                  </w14:solidFill>
                </w14:textFill>
              </w:rPr>
            </w:pPr>
            <w:r>
              <w:rPr>
                <w:rFonts w:hint="default" w:ascii="Times New Roman" w:hAnsi="Times New Roman" w:eastAsia="楷体" w:cs="Times New Roman"/>
                <w:b/>
                <w:bCs/>
                <w:color w:val="000000" w:themeColor="text1"/>
                <w:kern w:val="0"/>
                <w:sz w:val="22"/>
                <w:szCs w:val="22"/>
                <w:highlight w:val="none"/>
                <w14:textFill>
                  <w14:solidFill>
                    <w14:schemeClr w14:val="tx1"/>
                  </w14:solidFill>
                </w14:textFill>
              </w:rPr>
              <w:t>2030年</w:t>
            </w:r>
          </w:p>
        </w:tc>
        <w:tc>
          <w:tcPr>
            <w:tcW w:w="1247" w:type="dxa"/>
            <w:tcBorders>
              <w:top w:val="single" w:color="auto" w:sz="4" w:space="0"/>
            </w:tcBorders>
            <w:vAlign w:val="center"/>
          </w:tcPr>
          <w:p w14:paraId="73D1D5D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sz w:val="22"/>
                <w:szCs w:val="22"/>
                <w:highlight w:val="none"/>
                <w:lang w:val="en-US" w:eastAsia="zh-CN"/>
                <w14:textFill>
                  <w14:solidFill>
                    <w14:schemeClr w14:val="tx1"/>
                  </w14:solidFill>
                </w14:textFill>
              </w:rPr>
            </w:pPr>
            <w:r>
              <w:rPr>
                <w:rFonts w:hint="eastAsia" w:eastAsia="楷体" w:cs="Times New Roman"/>
                <w:b/>
                <w:bCs/>
                <w:color w:val="000000" w:themeColor="text1"/>
                <w:sz w:val="22"/>
                <w:szCs w:val="22"/>
                <w:highlight w:val="none"/>
                <w:lang w:val="en-US" w:eastAsia="zh-CN"/>
                <w14:textFill>
                  <w14:solidFill>
                    <w14:schemeClr w14:val="tx1"/>
                  </w14:solidFill>
                </w14:textFill>
              </w:rPr>
              <w:t>年均/累计</w:t>
            </w:r>
          </w:p>
        </w:tc>
        <w:tc>
          <w:tcPr>
            <w:tcW w:w="816" w:type="dxa"/>
            <w:tcBorders>
              <w:top w:val="single" w:color="auto" w:sz="4" w:space="0"/>
            </w:tcBorders>
            <w:vAlign w:val="center"/>
          </w:tcPr>
          <w:p w14:paraId="35FF8A9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sz w:val="22"/>
                <w:szCs w:val="22"/>
                <w:highlight w:val="none"/>
                <w14:textFill>
                  <w14:solidFill>
                    <w14:schemeClr w14:val="tx1"/>
                  </w14:solidFill>
                </w14:textFill>
              </w:rPr>
            </w:pPr>
            <w:r>
              <w:rPr>
                <w:rFonts w:hint="default" w:ascii="Times New Roman" w:hAnsi="Times New Roman" w:eastAsia="楷体" w:cs="Times New Roman"/>
                <w:b/>
                <w:bCs/>
                <w:color w:val="000000" w:themeColor="text1"/>
                <w:sz w:val="22"/>
                <w:szCs w:val="22"/>
                <w:highlight w:val="none"/>
                <w14:textFill>
                  <w14:solidFill>
                    <w14:schemeClr w14:val="tx1"/>
                  </w14:solidFill>
                </w14:textFill>
              </w:rPr>
              <w:t>属性</w:t>
            </w:r>
          </w:p>
        </w:tc>
      </w:tr>
      <w:tr w14:paraId="35FF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dxa"/>
            <w:vMerge w:val="restart"/>
            <w:vAlign w:val="center"/>
          </w:tcPr>
          <w:p w14:paraId="35FF8A9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经济</w:t>
            </w:r>
          </w:p>
          <w:p w14:paraId="35FF8A9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发展</w:t>
            </w:r>
          </w:p>
        </w:tc>
        <w:tc>
          <w:tcPr>
            <w:tcW w:w="4535" w:type="dxa"/>
            <w:vAlign w:val="center"/>
          </w:tcPr>
          <w:p w14:paraId="35FF8A9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eastAsia" w:ascii="Times New Roman" w:hAnsi="Times New Roman" w:eastAsia="楷体" w:cs="Times New Roman"/>
                <w:color w:val="000000" w:themeColor="text1"/>
                <w:kern w:val="0"/>
                <w:sz w:val="20"/>
                <w:szCs w:val="20"/>
                <w:highlight w:val="none"/>
                <w:lang w:val="en-US" w:eastAsia="zh-CN"/>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地区生产总值（</w:t>
            </w:r>
            <w:r>
              <w:rPr>
                <w:rFonts w:hint="eastAsia" w:eastAsia="楷体" w:cs="Times New Roman"/>
                <w:color w:val="000000" w:themeColor="text1"/>
                <w:kern w:val="0"/>
                <w:sz w:val="20"/>
                <w:szCs w:val="20"/>
                <w:highlight w:val="none"/>
                <w:lang w:val="en-US" w:eastAsia="zh-CN"/>
                <w14:textFill>
                  <w14:solidFill>
                    <w14:schemeClr w14:val="tx1"/>
                  </w14:solidFill>
                </w14:textFill>
              </w:rPr>
              <w:t>GDP</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r>
              <w:rPr>
                <w:rFonts w:hint="eastAsia" w:eastAsia="楷体" w:cs="Times New Roman"/>
                <w:color w:val="000000" w:themeColor="text1"/>
                <w:kern w:val="0"/>
                <w:sz w:val="20"/>
                <w:szCs w:val="20"/>
                <w:highlight w:val="none"/>
                <w:lang w:val="en-US" w:eastAsia="zh-CN"/>
                <w14:textFill>
                  <w14:solidFill>
                    <w14:schemeClr w14:val="tx1"/>
                  </w14:solidFill>
                </w14:textFill>
              </w:rPr>
              <w:t>增长（%）</w:t>
            </w:r>
          </w:p>
        </w:tc>
        <w:tc>
          <w:tcPr>
            <w:tcW w:w="932" w:type="dxa"/>
            <w:vAlign w:val="center"/>
          </w:tcPr>
          <w:p w14:paraId="35FF8A9D">
            <w:pPr>
              <w:keepNext w:val="0"/>
              <w:keepLines w:val="0"/>
              <w:pageBreakBefore w:val="0"/>
              <w:widowControl w:val="0"/>
              <w:suppressLineNumbers w:val="0"/>
              <w:kinsoku/>
              <w:wordWrap/>
              <w:overflowPunct/>
              <w:topLinePunct w:val="0"/>
              <w:autoSpaceDN/>
              <w:bidi w:val="0"/>
              <w:snapToGrid w:val="0"/>
              <w:spacing w:before="0" w:beforeAutospacing="0" w:after="0" w:afterAutospacing="0" w:line="360" w:lineRule="auto"/>
              <w:ind w:left="0" w:right="0" w:firstLine="0" w:firstLineChars="0"/>
              <w:jc w:val="center"/>
              <w:textAlignment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5.5</w:t>
            </w:r>
          </w:p>
        </w:tc>
        <w:tc>
          <w:tcPr>
            <w:tcW w:w="932" w:type="dxa"/>
            <w:vAlign w:val="center"/>
          </w:tcPr>
          <w:p w14:paraId="35FF8A9E">
            <w:pPr>
              <w:keepNext w:val="0"/>
              <w:keepLines w:val="0"/>
              <w:pageBreakBefore w:val="0"/>
              <w:widowControl w:val="0"/>
              <w:suppressLineNumbers w:val="0"/>
              <w:kinsoku/>
              <w:wordWrap/>
              <w:overflowPunct/>
              <w:topLinePunct w:val="0"/>
              <w:autoSpaceDN/>
              <w:bidi w:val="0"/>
              <w:snapToGrid w:val="0"/>
              <w:spacing w:before="0" w:beforeAutospacing="0" w:after="0" w:afterAutospacing="0" w:line="360" w:lineRule="auto"/>
              <w:ind w:left="0" w:right="0" w:firstLine="0" w:firstLineChars="0"/>
              <w:jc w:val="center"/>
              <w:textAlignment w:val="center"/>
              <w:rPr>
                <w:rFonts w:hint="eastAsia" w:ascii="Times New Roman" w:hAnsi="Times New Roman" w:eastAsia="仿宋_GB2312" w:cs="Times New Roman"/>
                <w:color w:val="000000" w:themeColor="text1"/>
                <w:kern w:val="0"/>
                <w:sz w:val="20"/>
                <w:szCs w:val="20"/>
                <w:highlight w:val="none"/>
                <w:lang w:eastAsia="zh-CN"/>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1247" w:type="dxa"/>
            <w:vAlign w:val="center"/>
          </w:tcPr>
          <w:p w14:paraId="026EEEE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lang w:val="en-US" w:eastAsia="zh-CN"/>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5.5</w:t>
            </w:r>
          </w:p>
        </w:tc>
        <w:tc>
          <w:tcPr>
            <w:tcW w:w="816" w:type="dxa"/>
            <w:vAlign w:val="center"/>
          </w:tcPr>
          <w:p w14:paraId="35FF8A9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预期性</w:t>
            </w:r>
          </w:p>
        </w:tc>
      </w:tr>
      <w:tr w14:paraId="35FF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8" w:type="dxa"/>
            <w:vMerge w:val="continue"/>
            <w:vAlign w:val="center"/>
          </w:tcPr>
          <w:p w14:paraId="35FF8AA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vAlign w:val="center"/>
          </w:tcPr>
          <w:p w14:paraId="35FF8AA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lang w:val="en-US" w:eastAsia="zh-CN"/>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2.城镇新增就业（人）</w:t>
            </w:r>
          </w:p>
        </w:tc>
        <w:tc>
          <w:tcPr>
            <w:tcW w:w="932" w:type="dxa"/>
            <w:vAlign w:val="center"/>
          </w:tcPr>
          <w:p w14:paraId="35FF8AA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2521</w:t>
            </w:r>
          </w:p>
        </w:tc>
        <w:tc>
          <w:tcPr>
            <w:tcW w:w="932" w:type="dxa"/>
            <w:vAlign w:val="center"/>
          </w:tcPr>
          <w:p w14:paraId="35FF8AA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1247" w:type="dxa"/>
            <w:vAlign w:val="center"/>
          </w:tcPr>
          <w:p w14:paraId="3F922AC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lang w:val="en-US" w:eastAsia="zh-CN"/>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10000</w:t>
            </w:r>
          </w:p>
        </w:tc>
        <w:tc>
          <w:tcPr>
            <w:tcW w:w="816" w:type="dxa"/>
            <w:vAlign w:val="center"/>
          </w:tcPr>
          <w:p w14:paraId="35FF8AA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预期性</w:t>
            </w:r>
          </w:p>
        </w:tc>
      </w:tr>
      <w:tr w14:paraId="35FF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8" w:type="dxa"/>
            <w:vMerge w:val="continue"/>
            <w:vAlign w:val="center"/>
          </w:tcPr>
          <w:p w14:paraId="35FF8AA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vAlign w:val="center"/>
          </w:tcPr>
          <w:p w14:paraId="35FF8AA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3.常住人口城镇化率</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r>
              <w:rPr>
                <w:rFonts w:hint="eastAsia" w:eastAsia="楷体" w:cs="Times New Roman"/>
                <w:color w:val="000000" w:themeColor="text1"/>
                <w:kern w:val="0"/>
                <w:sz w:val="20"/>
                <w:szCs w:val="20"/>
                <w:highlight w:val="none"/>
                <w:lang w:val="en-US" w:eastAsia="zh-CN"/>
                <w14:textFill>
                  <w14:solidFill>
                    <w14:schemeClr w14:val="tx1"/>
                  </w14:solidFill>
                </w14:textFill>
              </w:rPr>
              <w:t>%</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p>
        </w:tc>
        <w:tc>
          <w:tcPr>
            <w:tcW w:w="932" w:type="dxa"/>
            <w:vAlign w:val="center"/>
          </w:tcPr>
          <w:p w14:paraId="35FF8AA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auto"/>
                <w:kern w:val="0"/>
                <w:sz w:val="20"/>
                <w:szCs w:val="20"/>
                <w:highlight w:val="none"/>
                <w:lang w:eastAsia="zh-CN"/>
              </w:rPr>
              <w:t>72.22</w:t>
            </w:r>
          </w:p>
        </w:tc>
        <w:tc>
          <w:tcPr>
            <w:tcW w:w="932" w:type="dxa"/>
            <w:vAlign w:val="center"/>
          </w:tcPr>
          <w:p w14:paraId="35FF8AA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auto"/>
                <w:kern w:val="0"/>
                <w:sz w:val="20"/>
                <w:szCs w:val="20"/>
                <w:highlight w:val="none"/>
                <w:lang w:val="en-US" w:eastAsia="zh-CN"/>
              </w:rPr>
              <w:t>75</w:t>
            </w:r>
          </w:p>
        </w:tc>
        <w:tc>
          <w:tcPr>
            <w:tcW w:w="1247" w:type="dxa"/>
            <w:vAlign w:val="center"/>
          </w:tcPr>
          <w:p w14:paraId="6D4CEAF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vAlign w:val="center"/>
          </w:tcPr>
          <w:p w14:paraId="35FF8AA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预期性</w:t>
            </w:r>
          </w:p>
        </w:tc>
      </w:tr>
      <w:tr w14:paraId="35FF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58" w:type="dxa"/>
            <w:vMerge w:val="restart"/>
            <w:vAlign w:val="center"/>
          </w:tcPr>
          <w:p w14:paraId="35FF8AC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bookmarkStart w:id="14" w:name="_Hlk110603537"/>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创新</w:t>
            </w:r>
          </w:p>
          <w:p w14:paraId="35FF8AC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驱动</w:t>
            </w:r>
          </w:p>
        </w:tc>
        <w:tc>
          <w:tcPr>
            <w:tcW w:w="4535" w:type="dxa"/>
            <w:vAlign w:val="center"/>
          </w:tcPr>
          <w:p w14:paraId="35FF8AC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4.</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全社会研发经费</w:t>
            </w:r>
            <w:r>
              <w:rPr>
                <w:rFonts w:hint="eastAsia" w:eastAsia="楷体" w:cs="Times New Roman"/>
                <w:color w:val="000000" w:themeColor="text1"/>
                <w:kern w:val="0"/>
                <w:sz w:val="20"/>
                <w:szCs w:val="20"/>
                <w:highlight w:val="none"/>
                <w:lang w:val="en-US" w:eastAsia="zh-CN"/>
                <w14:textFill>
                  <w14:solidFill>
                    <w14:schemeClr w14:val="tx1"/>
                  </w14:solidFill>
                </w14:textFill>
              </w:rPr>
              <w:t>投入增长</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p>
        </w:tc>
        <w:tc>
          <w:tcPr>
            <w:tcW w:w="932" w:type="dxa"/>
            <w:vAlign w:val="center"/>
          </w:tcPr>
          <w:p w14:paraId="35FF8AC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932" w:type="dxa"/>
            <w:vAlign w:val="center"/>
          </w:tcPr>
          <w:p w14:paraId="35FF8AC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kern w:val="0"/>
                <w:sz w:val="20"/>
                <w:szCs w:val="20"/>
                <w:highlight w:val="none"/>
                <w14:textFill>
                  <w14:solidFill>
                    <w14:schemeClr w14:val="tx1"/>
                  </w14:solidFill>
                </w14:textFill>
              </w:rPr>
            </w:pPr>
            <w:r>
              <w:rPr>
                <w:rFonts w:hint="eastAsia" w:ascii="楷体" w:hAnsi="楷体" w:eastAsia="楷体" w:cs="楷体"/>
                <w:color w:val="000000" w:themeColor="text1"/>
                <w:kern w:val="0"/>
                <w:sz w:val="20"/>
                <w:szCs w:val="20"/>
                <w:highlight w:val="none"/>
                <w:lang w:val="en-US" w:eastAsia="zh-CN"/>
                <w14:textFill>
                  <w14:solidFill>
                    <w14:schemeClr w14:val="tx1"/>
                  </w14:solidFill>
                </w14:textFill>
              </w:rPr>
              <w:t>与市目标保持一致</w:t>
            </w:r>
          </w:p>
        </w:tc>
        <w:tc>
          <w:tcPr>
            <w:tcW w:w="1247" w:type="dxa"/>
            <w:vAlign w:val="center"/>
          </w:tcPr>
          <w:p w14:paraId="615EF01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eastAsia" w:ascii="Times New Roman" w:hAnsi="Times New Roman" w:eastAsia="楷体"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vAlign w:val="center"/>
          </w:tcPr>
          <w:p w14:paraId="35FF8AC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预期性</w:t>
            </w:r>
          </w:p>
        </w:tc>
      </w:tr>
      <w:tr w14:paraId="35FF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58" w:type="dxa"/>
            <w:vMerge w:val="continue"/>
            <w:vAlign w:val="center"/>
          </w:tcPr>
          <w:p w14:paraId="35FF8AD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vAlign w:val="center"/>
          </w:tcPr>
          <w:p w14:paraId="35FF8AD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5.</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数字经济核心产业增加值</w:t>
            </w:r>
            <w:r>
              <w:rPr>
                <w:rFonts w:hint="eastAsia" w:eastAsia="楷体" w:cs="Times New Roman"/>
                <w:color w:val="000000" w:themeColor="text1"/>
                <w:kern w:val="0"/>
                <w:sz w:val="20"/>
                <w:szCs w:val="20"/>
                <w:highlight w:val="none"/>
                <w:lang w:val="en-US" w:eastAsia="zh-CN"/>
                <w14:textFill>
                  <w14:solidFill>
                    <w14:schemeClr w14:val="tx1"/>
                  </w14:solidFill>
                </w14:textFill>
              </w:rPr>
              <w:t>增长</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p>
        </w:tc>
        <w:tc>
          <w:tcPr>
            <w:tcW w:w="932" w:type="dxa"/>
            <w:vAlign w:val="center"/>
          </w:tcPr>
          <w:p w14:paraId="35FF8AD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w:t>
            </w:r>
          </w:p>
        </w:tc>
        <w:tc>
          <w:tcPr>
            <w:tcW w:w="932" w:type="dxa"/>
            <w:vAlign w:val="center"/>
          </w:tcPr>
          <w:p w14:paraId="35FF8AD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ascii="楷体" w:hAnsi="楷体" w:eastAsia="楷体" w:cs="楷体"/>
                <w:color w:val="000000" w:themeColor="text1"/>
                <w:kern w:val="0"/>
                <w:sz w:val="20"/>
                <w:szCs w:val="20"/>
                <w:highlight w:val="none"/>
                <w:lang w:val="en-US" w:eastAsia="zh-CN"/>
                <w14:textFill>
                  <w14:solidFill>
                    <w14:schemeClr w14:val="tx1"/>
                  </w14:solidFill>
                </w14:textFill>
              </w:rPr>
              <w:t>与市目标保持一致</w:t>
            </w:r>
          </w:p>
        </w:tc>
        <w:tc>
          <w:tcPr>
            <w:tcW w:w="1247" w:type="dxa"/>
            <w:vAlign w:val="center"/>
          </w:tcPr>
          <w:p w14:paraId="780559E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vAlign w:val="center"/>
          </w:tcPr>
          <w:p w14:paraId="35FF8AD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预期性</w:t>
            </w:r>
          </w:p>
        </w:tc>
      </w:tr>
      <w:tr w14:paraId="35FF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58" w:type="dxa"/>
            <w:vAlign w:val="center"/>
          </w:tcPr>
          <w:p w14:paraId="35FF8AD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对外</w:t>
            </w:r>
          </w:p>
          <w:p w14:paraId="35FF8AD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开放</w:t>
            </w:r>
          </w:p>
        </w:tc>
        <w:tc>
          <w:tcPr>
            <w:tcW w:w="4535" w:type="dxa"/>
            <w:vAlign w:val="center"/>
          </w:tcPr>
          <w:p w14:paraId="35FF8AD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6.对俄贸易总额</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r>
              <w:rPr>
                <w:rFonts w:hint="eastAsia" w:eastAsia="楷体" w:cs="Times New Roman"/>
                <w:color w:val="000000" w:themeColor="text1"/>
                <w:kern w:val="0"/>
                <w:sz w:val="20"/>
                <w:szCs w:val="20"/>
                <w:highlight w:val="none"/>
                <w:lang w:val="en-US" w:eastAsia="zh-CN"/>
                <w14:textFill>
                  <w14:solidFill>
                    <w14:schemeClr w14:val="tx1"/>
                  </w14:solidFill>
                </w14:textFill>
              </w:rPr>
              <w:t>万元</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p>
        </w:tc>
        <w:tc>
          <w:tcPr>
            <w:tcW w:w="932" w:type="dxa"/>
            <w:vAlign w:val="center"/>
          </w:tcPr>
          <w:p w14:paraId="35FF8AD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350</w:t>
            </w:r>
          </w:p>
        </w:tc>
        <w:tc>
          <w:tcPr>
            <w:tcW w:w="932" w:type="dxa"/>
            <w:vAlign w:val="center"/>
          </w:tcPr>
          <w:p w14:paraId="35FF8AD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446.7</w:t>
            </w:r>
          </w:p>
        </w:tc>
        <w:tc>
          <w:tcPr>
            <w:tcW w:w="1247" w:type="dxa"/>
            <w:vAlign w:val="center"/>
          </w:tcPr>
          <w:p w14:paraId="5DDB274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vAlign w:val="center"/>
          </w:tcPr>
          <w:p w14:paraId="35FF8AD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预期性</w:t>
            </w:r>
          </w:p>
        </w:tc>
      </w:tr>
      <w:tr w14:paraId="35FF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58" w:type="dxa"/>
            <w:vMerge w:val="restart"/>
            <w:vAlign w:val="center"/>
          </w:tcPr>
          <w:p w14:paraId="4CEC71C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绿色</w:t>
            </w:r>
          </w:p>
          <w:p w14:paraId="35FF8AE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低碳</w:t>
            </w:r>
          </w:p>
        </w:tc>
        <w:tc>
          <w:tcPr>
            <w:tcW w:w="4535" w:type="dxa"/>
            <w:vAlign w:val="center"/>
          </w:tcPr>
          <w:p w14:paraId="35FF8AE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7.</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单位GDP碳排放</w:t>
            </w:r>
            <w:r>
              <w:rPr>
                <w:rFonts w:hint="eastAsia" w:eastAsia="楷体" w:cs="Times New Roman"/>
                <w:color w:val="000000" w:themeColor="text1"/>
                <w:kern w:val="0"/>
                <w:sz w:val="20"/>
                <w:szCs w:val="20"/>
                <w:highlight w:val="none"/>
                <w:lang w:val="en-US" w:eastAsia="zh-CN"/>
                <w14:textFill>
                  <w14:solidFill>
                    <w14:schemeClr w14:val="tx1"/>
                  </w14:solidFill>
                </w14:textFill>
              </w:rPr>
              <w:t>强度</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降低（%）</w:t>
            </w:r>
          </w:p>
        </w:tc>
        <w:tc>
          <w:tcPr>
            <w:tcW w:w="932" w:type="dxa"/>
            <w:vAlign w:val="center"/>
          </w:tcPr>
          <w:p w14:paraId="35FF8AE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932" w:type="dxa"/>
            <w:vAlign w:val="center"/>
          </w:tcPr>
          <w:p w14:paraId="35FF8AE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ascii="楷体" w:hAnsi="楷体" w:eastAsia="楷体" w:cs="楷体"/>
                <w:color w:val="000000" w:themeColor="text1"/>
                <w:kern w:val="0"/>
                <w:sz w:val="20"/>
                <w:szCs w:val="20"/>
                <w:highlight w:val="none"/>
                <w:lang w:val="en-US" w:eastAsia="zh-CN"/>
                <w14:textFill>
                  <w14:solidFill>
                    <w14:schemeClr w14:val="tx1"/>
                  </w14:solidFill>
                </w14:textFill>
              </w:rPr>
              <w:t>完成市下达目标</w:t>
            </w:r>
          </w:p>
        </w:tc>
        <w:tc>
          <w:tcPr>
            <w:tcW w:w="1247" w:type="dxa"/>
            <w:vAlign w:val="center"/>
          </w:tcPr>
          <w:p w14:paraId="596DFFD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vAlign w:val="center"/>
          </w:tcPr>
          <w:p w14:paraId="35FF8AE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约束性</w:t>
            </w:r>
          </w:p>
        </w:tc>
      </w:tr>
      <w:tr w14:paraId="35FF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58" w:type="dxa"/>
            <w:vMerge w:val="continue"/>
            <w:vAlign w:val="center"/>
          </w:tcPr>
          <w:p w14:paraId="35FF8AE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vAlign w:val="center"/>
          </w:tcPr>
          <w:p w14:paraId="35FF8AE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8.城市细颗粒物（PM2.5）浓度（微克/立方米）</w:t>
            </w:r>
          </w:p>
        </w:tc>
        <w:tc>
          <w:tcPr>
            <w:tcW w:w="932" w:type="dxa"/>
            <w:vAlign w:val="center"/>
          </w:tcPr>
          <w:p w14:paraId="35FF8AE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29</w:t>
            </w:r>
          </w:p>
        </w:tc>
        <w:tc>
          <w:tcPr>
            <w:tcW w:w="932" w:type="dxa"/>
            <w:vAlign w:val="center"/>
          </w:tcPr>
          <w:p w14:paraId="35FF8AE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kern w:val="0"/>
                <w:sz w:val="20"/>
                <w:szCs w:val="20"/>
                <w:highlight w:val="none"/>
                <w14:textFill>
                  <w14:solidFill>
                    <w14:schemeClr w14:val="tx1"/>
                  </w14:solidFill>
                </w14:textFill>
              </w:rPr>
            </w:pPr>
            <w:r>
              <w:rPr>
                <w:rFonts w:hint="eastAsia" w:ascii="楷体" w:hAnsi="楷体" w:eastAsia="楷体" w:cs="楷体"/>
                <w:color w:val="000000" w:themeColor="text1"/>
                <w:kern w:val="0"/>
                <w:sz w:val="20"/>
                <w:szCs w:val="20"/>
                <w:highlight w:val="none"/>
                <w:lang w:val="en-US" w:eastAsia="zh-CN"/>
                <w14:textFill>
                  <w14:solidFill>
                    <w14:schemeClr w14:val="tx1"/>
                  </w14:solidFill>
                </w14:textFill>
              </w:rPr>
              <w:t>完成市下达目标</w:t>
            </w:r>
          </w:p>
        </w:tc>
        <w:tc>
          <w:tcPr>
            <w:tcW w:w="1247" w:type="dxa"/>
            <w:vAlign w:val="center"/>
          </w:tcPr>
          <w:p w14:paraId="4178CBE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vAlign w:val="center"/>
          </w:tcPr>
          <w:p w14:paraId="35FF8AE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约束性</w:t>
            </w:r>
          </w:p>
        </w:tc>
      </w:tr>
      <w:tr w14:paraId="35FF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658" w:type="dxa"/>
            <w:vMerge w:val="continue"/>
            <w:vAlign w:val="center"/>
          </w:tcPr>
          <w:p w14:paraId="35FF8AF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vAlign w:val="center"/>
          </w:tcPr>
          <w:p w14:paraId="35FF8AF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9.</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地表水达到或好于Ⅲ类水体比例（%）</w:t>
            </w:r>
          </w:p>
        </w:tc>
        <w:tc>
          <w:tcPr>
            <w:tcW w:w="932" w:type="dxa"/>
            <w:vAlign w:val="center"/>
          </w:tcPr>
          <w:p w14:paraId="35FF8AF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80</w:t>
            </w:r>
          </w:p>
        </w:tc>
        <w:tc>
          <w:tcPr>
            <w:tcW w:w="932" w:type="dxa"/>
            <w:noWrap/>
            <w:vAlign w:val="center"/>
          </w:tcPr>
          <w:p w14:paraId="35FF8AF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kern w:val="0"/>
                <w:sz w:val="20"/>
                <w:szCs w:val="20"/>
                <w:highlight w:val="none"/>
                <w14:textFill>
                  <w14:solidFill>
                    <w14:schemeClr w14:val="tx1"/>
                  </w14:solidFill>
                </w14:textFill>
              </w:rPr>
            </w:pPr>
            <w:r>
              <w:rPr>
                <w:rFonts w:hint="eastAsia" w:ascii="楷体" w:hAnsi="楷体" w:eastAsia="楷体" w:cs="楷体"/>
                <w:color w:val="000000" w:themeColor="text1"/>
                <w:kern w:val="0"/>
                <w:sz w:val="20"/>
                <w:szCs w:val="20"/>
                <w:highlight w:val="none"/>
                <w:lang w:val="en-US" w:eastAsia="zh-CN"/>
                <w14:textFill>
                  <w14:solidFill>
                    <w14:schemeClr w14:val="tx1"/>
                  </w14:solidFill>
                </w14:textFill>
              </w:rPr>
              <w:t>完成市下达目标</w:t>
            </w:r>
          </w:p>
        </w:tc>
        <w:tc>
          <w:tcPr>
            <w:tcW w:w="1247" w:type="dxa"/>
            <w:noWrap/>
            <w:vAlign w:val="center"/>
          </w:tcPr>
          <w:p w14:paraId="7C5E9A1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noWrap/>
            <w:vAlign w:val="center"/>
          </w:tcPr>
          <w:p w14:paraId="35FF8AF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约束性</w:t>
            </w:r>
          </w:p>
        </w:tc>
      </w:tr>
      <w:tr w14:paraId="35FF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58" w:type="dxa"/>
            <w:vMerge w:val="continue"/>
            <w:vAlign w:val="center"/>
          </w:tcPr>
          <w:p w14:paraId="35FF8AF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vAlign w:val="center"/>
          </w:tcPr>
          <w:p w14:paraId="35FF8AF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10.</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森林覆盖率（%）</w:t>
            </w:r>
          </w:p>
        </w:tc>
        <w:tc>
          <w:tcPr>
            <w:tcW w:w="932" w:type="dxa"/>
            <w:vAlign w:val="center"/>
          </w:tcPr>
          <w:p w14:paraId="35FF8AF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2</w:t>
            </w:r>
          </w:p>
        </w:tc>
        <w:tc>
          <w:tcPr>
            <w:tcW w:w="932" w:type="dxa"/>
            <w:noWrap/>
            <w:vAlign w:val="center"/>
          </w:tcPr>
          <w:p w14:paraId="35FF8B0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2.5</w:t>
            </w:r>
          </w:p>
        </w:tc>
        <w:tc>
          <w:tcPr>
            <w:tcW w:w="1247" w:type="dxa"/>
            <w:noWrap/>
            <w:vAlign w:val="center"/>
          </w:tcPr>
          <w:p w14:paraId="5BBDB53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noWrap/>
            <w:vAlign w:val="center"/>
          </w:tcPr>
          <w:p w14:paraId="35FF8B0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约束性</w:t>
            </w:r>
          </w:p>
        </w:tc>
      </w:tr>
      <w:tr w14:paraId="35FF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8" w:type="dxa"/>
            <w:vMerge w:val="restart"/>
            <w:vAlign w:val="center"/>
          </w:tcPr>
          <w:p w14:paraId="35FF8B0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民生</w:t>
            </w:r>
          </w:p>
          <w:p w14:paraId="35FF8B0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福祉</w:t>
            </w:r>
          </w:p>
        </w:tc>
        <w:tc>
          <w:tcPr>
            <w:tcW w:w="4535" w:type="dxa"/>
            <w:vAlign w:val="center"/>
          </w:tcPr>
          <w:p w14:paraId="35FF8B0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11.</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居民人均可支配收入</w:t>
            </w:r>
            <w:r>
              <w:rPr>
                <w:rFonts w:hint="eastAsia" w:eastAsia="楷体" w:cs="Times New Roman"/>
                <w:color w:val="000000" w:themeColor="text1"/>
                <w:kern w:val="0"/>
                <w:sz w:val="20"/>
                <w:szCs w:val="20"/>
                <w:highlight w:val="none"/>
                <w:lang w:val="en-US" w:eastAsia="zh-CN"/>
                <w14:textFill>
                  <w14:solidFill>
                    <w14:schemeClr w14:val="tx1"/>
                  </w14:solidFill>
                </w14:textFill>
              </w:rPr>
              <w:t>增长</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r>
              <w:rPr>
                <w:rFonts w:hint="eastAsia" w:eastAsia="楷体" w:cs="Times New Roman"/>
                <w:color w:val="000000" w:themeColor="text1"/>
                <w:kern w:val="0"/>
                <w:sz w:val="20"/>
                <w:szCs w:val="20"/>
                <w:highlight w:val="none"/>
                <w:lang w:val="en-US" w:eastAsia="zh-CN"/>
                <w14:textFill>
                  <w14:solidFill>
                    <w14:schemeClr w14:val="tx1"/>
                  </w14:solidFill>
                </w14:textFill>
              </w:rPr>
              <w:t>%</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p>
        </w:tc>
        <w:tc>
          <w:tcPr>
            <w:tcW w:w="932" w:type="dxa"/>
            <w:vAlign w:val="center"/>
          </w:tcPr>
          <w:p w14:paraId="35FF8B0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5</w:t>
            </w:r>
          </w:p>
        </w:tc>
        <w:tc>
          <w:tcPr>
            <w:tcW w:w="932" w:type="dxa"/>
            <w:vAlign w:val="center"/>
          </w:tcPr>
          <w:p w14:paraId="35FF8B0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5.5</w:t>
            </w:r>
          </w:p>
        </w:tc>
        <w:tc>
          <w:tcPr>
            <w:tcW w:w="1247" w:type="dxa"/>
            <w:vAlign w:val="center"/>
          </w:tcPr>
          <w:p w14:paraId="5254BC4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vAlign w:val="center"/>
          </w:tcPr>
          <w:p w14:paraId="35FF8B0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预期性</w:t>
            </w:r>
          </w:p>
        </w:tc>
      </w:tr>
      <w:tr w14:paraId="35FF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8" w:type="dxa"/>
            <w:vMerge w:val="continue"/>
            <w:vAlign w:val="center"/>
          </w:tcPr>
          <w:p w14:paraId="35FF8B0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vAlign w:val="center"/>
          </w:tcPr>
          <w:p w14:paraId="35FF8B0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12.劳动年龄人口平均受教育年限</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r>
              <w:rPr>
                <w:rFonts w:hint="eastAsia" w:eastAsia="楷体" w:cs="Times New Roman"/>
                <w:color w:val="000000" w:themeColor="text1"/>
                <w:kern w:val="0"/>
                <w:sz w:val="20"/>
                <w:szCs w:val="20"/>
                <w:highlight w:val="none"/>
                <w:lang w:val="en-US" w:eastAsia="zh-CN"/>
                <w14:textFill>
                  <w14:solidFill>
                    <w14:schemeClr w14:val="tx1"/>
                  </w14:solidFill>
                </w14:textFill>
              </w:rPr>
              <w:t>年</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p>
        </w:tc>
        <w:tc>
          <w:tcPr>
            <w:tcW w:w="932" w:type="dxa"/>
            <w:vAlign w:val="center"/>
          </w:tcPr>
          <w:p w14:paraId="35FF8B0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eastAsia"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12</w:t>
            </w:r>
          </w:p>
        </w:tc>
        <w:tc>
          <w:tcPr>
            <w:tcW w:w="932" w:type="dxa"/>
            <w:vAlign w:val="center"/>
          </w:tcPr>
          <w:p w14:paraId="35FF8B0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12以上</w:t>
            </w:r>
          </w:p>
        </w:tc>
        <w:tc>
          <w:tcPr>
            <w:tcW w:w="1247" w:type="dxa"/>
            <w:vAlign w:val="center"/>
          </w:tcPr>
          <w:p w14:paraId="06F1CDA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vAlign w:val="center"/>
          </w:tcPr>
          <w:p w14:paraId="35FF8B0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约束性</w:t>
            </w:r>
          </w:p>
        </w:tc>
      </w:tr>
      <w:tr w14:paraId="35FF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8" w:type="dxa"/>
            <w:vMerge w:val="continue"/>
            <w:vAlign w:val="center"/>
          </w:tcPr>
          <w:p w14:paraId="35FF8B1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vAlign w:val="center"/>
          </w:tcPr>
          <w:p w14:paraId="35FF8B11">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13.</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每千人口拥有</w:t>
            </w:r>
            <w:r>
              <w:rPr>
                <w:rFonts w:hint="eastAsia" w:eastAsia="楷体" w:cs="Times New Roman"/>
                <w:color w:val="000000" w:themeColor="text1"/>
                <w:kern w:val="0"/>
                <w:sz w:val="20"/>
                <w:szCs w:val="20"/>
                <w:highlight w:val="none"/>
                <w:lang w:val="en-US" w:eastAsia="zh-CN"/>
                <w14:textFill>
                  <w14:solidFill>
                    <w14:schemeClr w14:val="tx1"/>
                  </w14:solidFill>
                </w14:textFill>
              </w:rPr>
              <w:t>医护人员数</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r>
              <w:rPr>
                <w:rFonts w:hint="eastAsia" w:eastAsia="楷体" w:cs="Times New Roman"/>
                <w:color w:val="000000" w:themeColor="text1"/>
                <w:kern w:val="0"/>
                <w:sz w:val="20"/>
                <w:szCs w:val="20"/>
                <w:highlight w:val="none"/>
                <w:lang w:val="en-US" w:eastAsia="zh-CN"/>
                <w14:textFill>
                  <w14:solidFill>
                    <w14:schemeClr w14:val="tx1"/>
                  </w14:solidFill>
                </w14:textFill>
              </w:rPr>
              <w:t>人</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p>
        </w:tc>
        <w:tc>
          <w:tcPr>
            <w:tcW w:w="932" w:type="dxa"/>
            <w:vAlign w:val="center"/>
          </w:tcPr>
          <w:p w14:paraId="35FF8B1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3.5</w:t>
            </w:r>
          </w:p>
        </w:tc>
        <w:tc>
          <w:tcPr>
            <w:tcW w:w="932" w:type="dxa"/>
            <w:vAlign w:val="center"/>
          </w:tcPr>
          <w:p w14:paraId="35FF8B1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4</w:t>
            </w:r>
          </w:p>
        </w:tc>
        <w:tc>
          <w:tcPr>
            <w:tcW w:w="1247" w:type="dxa"/>
            <w:vAlign w:val="center"/>
          </w:tcPr>
          <w:p w14:paraId="348CE8A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vAlign w:val="center"/>
          </w:tcPr>
          <w:p w14:paraId="35FF8B1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eastAsia" w:ascii="Times New Roman" w:hAnsi="Times New Roman" w:eastAsia="楷体" w:cs="Times New Roman"/>
                <w:color w:val="000000" w:themeColor="text1"/>
                <w:kern w:val="0"/>
                <w:sz w:val="20"/>
                <w:szCs w:val="20"/>
                <w:highlight w:val="none"/>
                <w:lang w:eastAsia="zh-CN"/>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预期</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性</w:t>
            </w:r>
          </w:p>
        </w:tc>
      </w:tr>
      <w:tr w14:paraId="35FF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8" w:type="dxa"/>
            <w:vMerge w:val="continue"/>
            <w:vAlign w:val="center"/>
          </w:tcPr>
          <w:p w14:paraId="35FF8B1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tcBorders>
              <w:bottom w:val="single" w:color="auto" w:sz="4" w:space="0"/>
            </w:tcBorders>
            <w:vAlign w:val="center"/>
          </w:tcPr>
          <w:p w14:paraId="35FF8B17">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14.</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养老机构护理型床位占比（%）</w:t>
            </w:r>
          </w:p>
        </w:tc>
        <w:tc>
          <w:tcPr>
            <w:tcW w:w="932" w:type="dxa"/>
            <w:tcBorders>
              <w:bottom w:val="single" w:color="auto" w:sz="4" w:space="0"/>
            </w:tcBorders>
            <w:vAlign w:val="center"/>
          </w:tcPr>
          <w:p w14:paraId="35FF8B18">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62</w:t>
            </w:r>
          </w:p>
        </w:tc>
        <w:tc>
          <w:tcPr>
            <w:tcW w:w="932" w:type="dxa"/>
            <w:tcBorders>
              <w:bottom w:val="single" w:color="auto" w:sz="4" w:space="0"/>
            </w:tcBorders>
            <w:vAlign w:val="center"/>
          </w:tcPr>
          <w:p w14:paraId="35FF8B1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eastAsia"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75</w:t>
            </w:r>
          </w:p>
        </w:tc>
        <w:tc>
          <w:tcPr>
            <w:tcW w:w="1247" w:type="dxa"/>
            <w:tcBorders>
              <w:bottom w:val="single" w:color="auto" w:sz="4" w:space="0"/>
            </w:tcBorders>
            <w:vAlign w:val="center"/>
          </w:tcPr>
          <w:p w14:paraId="4CE71D6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tcBorders>
              <w:bottom w:val="single" w:color="auto" w:sz="4" w:space="0"/>
            </w:tcBorders>
            <w:vAlign w:val="center"/>
          </w:tcPr>
          <w:p w14:paraId="35FF8B1A">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预期性</w:t>
            </w:r>
          </w:p>
        </w:tc>
      </w:tr>
      <w:tr w14:paraId="35FF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8" w:type="dxa"/>
            <w:vMerge w:val="continue"/>
            <w:vAlign w:val="center"/>
          </w:tcPr>
          <w:p w14:paraId="35FF8B1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tcBorders>
              <w:bottom w:val="single" w:color="auto" w:sz="4" w:space="0"/>
            </w:tcBorders>
            <w:vAlign w:val="center"/>
          </w:tcPr>
          <w:p w14:paraId="35FF8B1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15.</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人均预期寿命（</w:t>
            </w:r>
            <w:r>
              <w:rPr>
                <w:rFonts w:hint="eastAsia" w:eastAsia="楷体" w:cs="Times New Roman"/>
                <w:color w:val="000000" w:themeColor="text1"/>
                <w:kern w:val="0"/>
                <w:sz w:val="20"/>
                <w:szCs w:val="20"/>
                <w:highlight w:val="none"/>
                <w:lang w:val="en-US" w:eastAsia="zh-CN"/>
                <w14:textFill>
                  <w14:solidFill>
                    <w14:schemeClr w14:val="tx1"/>
                  </w14:solidFill>
                </w14:textFill>
              </w:rPr>
              <w:t>岁</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p>
        </w:tc>
        <w:tc>
          <w:tcPr>
            <w:tcW w:w="932" w:type="dxa"/>
            <w:tcBorders>
              <w:bottom w:val="single" w:color="auto" w:sz="4" w:space="0"/>
            </w:tcBorders>
            <w:vAlign w:val="center"/>
          </w:tcPr>
          <w:p w14:paraId="35FF8B1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79.4</w:t>
            </w:r>
          </w:p>
        </w:tc>
        <w:tc>
          <w:tcPr>
            <w:tcW w:w="932" w:type="dxa"/>
            <w:tcBorders>
              <w:bottom w:val="single" w:color="auto" w:sz="4" w:space="0"/>
            </w:tcBorders>
            <w:vAlign w:val="center"/>
          </w:tcPr>
          <w:p w14:paraId="35FF8B1F">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80.43</w:t>
            </w:r>
          </w:p>
        </w:tc>
        <w:tc>
          <w:tcPr>
            <w:tcW w:w="1247" w:type="dxa"/>
            <w:tcBorders>
              <w:bottom w:val="single" w:color="auto" w:sz="4" w:space="0"/>
            </w:tcBorders>
            <w:vAlign w:val="center"/>
          </w:tcPr>
          <w:p w14:paraId="37D53CFD">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tcBorders>
              <w:bottom w:val="single" w:color="auto" w:sz="4" w:space="0"/>
            </w:tcBorders>
            <w:vAlign w:val="center"/>
          </w:tcPr>
          <w:p w14:paraId="35FF8B2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预期性</w:t>
            </w:r>
          </w:p>
        </w:tc>
      </w:tr>
      <w:tr w14:paraId="35FF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8" w:type="dxa"/>
            <w:vMerge w:val="continue"/>
            <w:vAlign w:val="center"/>
          </w:tcPr>
          <w:p w14:paraId="35FF8B22">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p>
        </w:tc>
        <w:tc>
          <w:tcPr>
            <w:tcW w:w="4535" w:type="dxa"/>
            <w:tcBorders>
              <w:top w:val="single" w:color="auto" w:sz="4" w:space="0"/>
              <w:left w:val="single" w:color="auto" w:sz="4" w:space="0"/>
              <w:right w:val="single" w:color="auto" w:sz="4" w:space="0"/>
            </w:tcBorders>
            <w:vAlign w:val="center"/>
          </w:tcPr>
          <w:p w14:paraId="35FF8B23">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16.</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能源综合生产能力（万吨标准煤）</w:t>
            </w:r>
          </w:p>
        </w:tc>
        <w:tc>
          <w:tcPr>
            <w:tcW w:w="932" w:type="dxa"/>
            <w:tcBorders>
              <w:top w:val="single" w:color="auto" w:sz="4" w:space="0"/>
              <w:left w:val="single" w:color="auto" w:sz="4" w:space="0"/>
              <w:right w:val="single" w:color="auto" w:sz="4" w:space="0"/>
            </w:tcBorders>
            <w:vAlign w:val="center"/>
          </w:tcPr>
          <w:p w14:paraId="35FF8B2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932" w:type="dxa"/>
            <w:tcBorders>
              <w:top w:val="single" w:color="auto" w:sz="4" w:space="0"/>
              <w:left w:val="single" w:color="auto" w:sz="4" w:space="0"/>
              <w:right w:val="single" w:color="auto" w:sz="4" w:space="0"/>
            </w:tcBorders>
            <w:vAlign w:val="center"/>
          </w:tcPr>
          <w:p w14:paraId="35FF8B25">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eastAsia"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ascii="楷体" w:hAnsi="楷体" w:eastAsia="楷体" w:cs="楷体"/>
                <w:color w:val="000000" w:themeColor="text1"/>
                <w:kern w:val="0"/>
                <w:sz w:val="20"/>
                <w:szCs w:val="20"/>
                <w:highlight w:val="none"/>
                <w:lang w:val="en-US" w:eastAsia="zh-CN"/>
                <w14:textFill>
                  <w14:solidFill>
                    <w14:schemeClr w14:val="tx1"/>
                  </w14:solidFill>
                </w14:textFill>
              </w:rPr>
              <w:t>完成市下达目标</w:t>
            </w:r>
          </w:p>
        </w:tc>
        <w:tc>
          <w:tcPr>
            <w:tcW w:w="1247" w:type="dxa"/>
            <w:tcBorders>
              <w:top w:val="single" w:color="auto" w:sz="4" w:space="0"/>
              <w:left w:val="single" w:color="auto" w:sz="4" w:space="0"/>
              <w:right w:val="single" w:color="auto" w:sz="4" w:space="0"/>
            </w:tcBorders>
            <w:vAlign w:val="center"/>
          </w:tcPr>
          <w:p w14:paraId="7AA70FE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tcBorders>
              <w:top w:val="single" w:color="auto" w:sz="4" w:space="0"/>
              <w:left w:val="single" w:color="auto" w:sz="4" w:space="0"/>
              <w:right w:val="single" w:color="auto" w:sz="4" w:space="0"/>
            </w:tcBorders>
            <w:vAlign w:val="center"/>
          </w:tcPr>
          <w:p w14:paraId="35FF8B2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约束性</w:t>
            </w:r>
          </w:p>
        </w:tc>
      </w:tr>
      <w:tr w14:paraId="35FF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658" w:type="dxa"/>
            <w:vMerge w:val="continue"/>
            <w:tcBorders>
              <w:left w:val="single" w:color="auto" w:sz="4" w:space="0"/>
              <w:right w:val="single" w:color="auto" w:sz="4" w:space="0"/>
            </w:tcBorders>
            <w:vAlign w:val="center"/>
          </w:tcPr>
          <w:p w14:paraId="029B54D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安全</w:t>
            </w:r>
          </w:p>
          <w:p w14:paraId="0010ACBE">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b/>
                <w:bCs/>
                <w:color w:val="000000" w:themeColor="text1"/>
                <w:kern w:val="0"/>
                <w:sz w:val="20"/>
                <w:szCs w:val="20"/>
                <w:highlight w:val="none"/>
                <w14:textFill>
                  <w14:solidFill>
                    <w14:schemeClr w14:val="tx1"/>
                  </w14:solidFill>
                </w14:textFill>
              </w:rPr>
              <w:t>保障</w:t>
            </w:r>
          </w:p>
        </w:tc>
        <w:tc>
          <w:tcPr>
            <w:tcW w:w="4535" w:type="dxa"/>
            <w:tcBorders>
              <w:top w:val="single" w:color="auto" w:sz="4" w:space="0"/>
              <w:left w:val="single" w:color="auto" w:sz="4" w:space="0"/>
              <w:bottom w:val="single" w:color="auto" w:sz="4" w:space="0"/>
              <w:right w:val="single" w:color="auto" w:sz="4" w:space="0"/>
            </w:tcBorders>
            <w:vAlign w:val="center"/>
          </w:tcPr>
          <w:p w14:paraId="35FF8B29">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eastAsia="楷体" w:cs="Times New Roman"/>
                <w:color w:val="000000" w:themeColor="text1"/>
                <w:kern w:val="0"/>
                <w:sz w:val="20"/>
                <w:szCs w:val="20"/>
                <w:highlight w:val="none"/>
                <w:lang w:val="en-US" w:eastAsia="zh-CN"/>
                <w14:textFill>
                  <w14:solidFill>
                    <w14:schemeClr w14:val="tx1"/>
                  </w14:solidFill>
                </w14:textFill>
              </w:rPr>
              <w:t>17.</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粮食综合生产能力（</w:t>
            </w:r>
            <w:r>
              <w:rPr>
                <w:rFonts w:hint="eastAsia" w:eastAsia="楷体" w:cs="Times New Roman"/>
                <w:color w:val="000000" w:themeColor="text1"/>
                <w:kern w:val="0"/>
                <w:sz w:val="20"/>
                <w:szCs w:val="20"/>
                <w:highlight w:val="none"/>
                <w:lang w:val="en-US" w:eastAsia="zh-CN"/>
                <w14:textFill>
                  <w14:solidFill>
                    <w14:schemeClr w14:val="tx1"/>
                  </w14:solidFill>
                </w14:textFill>
              </w:rPr>
              <w:t>亿斤</w:t>
            </w: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w:t>
            </w:r>
          </w:p>
        </w:tc>
        <w:tc>
          <w:tcPr>
            <w:tcW w:w="932" w:type="dxa"/>
            <w:tcBorders>
              <w:top w:val="single" w:color="auto" w:sz="4" w:space="0"/>
              <w:left w:val="single" w:color="auto" w:sz="4" w:space="0"/>
              <w:bottom w:val="single" w:color="auto" w:sz="4" w:space="0"/>
              <w:right w:val="single" w:color="auto" w:sz="4" w:space="0"/>
            </w:tcBorders>
            <w:vAlign w:val="center"/>
          </w:tcPr>
          <w:p w14:paraId="35FF8B2A">
            <w:pPr>
              <w:keepNext w:val="0"/>
              <w:keepLines w:val="0"/>
              <w:pageBreakBefore w:val="0"/>
              <w:widowControl w:val="0"/>
              <w:suppressLineNumbers w:val="0"/>
              <w:kinsoku/>
              <w:wordWrap/>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1.04</w:t>
            </w:r>
          </w:p>
        </w:tc>
        <w:tc>
          <w:tcPr>
            <w:tcW w:w="932" w:type="dxa"/>
            <w:tcBorders>
              <w:top w:val="single" w:color="auto" w:sz="4" w:space="0"/>
              <w:left w:val="single" w:color="auto" w:sz="4" w:space="0"/>
              <w:bottom w:val="single" w:color="auto" w:sz="4" w:space="0"/>
              <w:right w:val="single" w:color="auto" w:sz="4" w:space="0"/>
            </w:tcBorders>
            <w:vAlign w:val="center"/>
          </w:tcPr>
          <w:p w14:paraId="35FF8B2B">
            <w:pPr>
              <w:keepNext w:val="0"/>
              <w:keepLines w:val="0"/>
              <w:pageBreakBefore w:val="0"/>
              <w:widowControl w:val="0"/>
              <w:suppressLineNumbers w:val="0"/>
              <w:kinsoku/>
              <w:wordWrap/>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仿宋_GB2312"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1.06</w:t>
            </w:r>
          </w:p>
        </w:tc>
        <w:tc>
          <w:tcPr>
            <w:tcW w:w="1247" w:type="dxa"/>
            <w:tcBorders>
              <w:top w:val="single" w:color="auto" w:sz="4" w:space="0"/>
              <w:left w:val="single" w:color="auto" w:sz="4" w:space="0"/>
              <w:bottom w:val="single" w:color="auto" w:sz="4" w:space="0"/>
              <w:right w:val="single" w:color="auto" w:sz="4" w:space="0"/>
            </w:tcBorders>
            <w:vAlign w:val="center"/>
          </w:tcPr>
          <w:p w14:paraId="39336CD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center"/>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eastAsia" w:cs="Times New Roman"/>
                <w:color w:val="000000" w:themeColor="text1"/>
                <w:kern w:val="0"/>
                <w:sz w:val="20"/>
                <w:szCs w:val="20"/>
                <w:highlight w:val="none"/>
                <w:lang w:eastAsia="zh-CN"/>
                <w14:textFill>
                  <w14:solidFill>
                    <w14:schemeClr w14:val="tx1"/>
                  </w14:solidFill>
                </w14:textFill>
              </w:rPr>
              <w:t>——</w:t>
            </w:r>
          </w:p>
        </w:tc>
        <w:tc>
          <w:tcPr>
            <w:tcW w:w="816" w:type="dxa"/>
            <w:tcBorders>
              <w:top w:val="single" w:color="auto" w:sz="4" w:space="0"/>
              <w:left w:val="single" w:color="auto" w:sz="4" w:space="0"/>
              <w:bottom w:val="single" w:color="auto" w:sz="4" w:space="0"/>
              <w:right w:val="single" w:color="auto" w:sz="4" w:space="0"/>
            </w:tcBorders>
            <w:vAlign w:val="center"/>
          </w:tcPr>
          <w:p w14:paraId="35FF8B2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楷体" w:cs="Times New Roman"/>
                <w:color w:val="000000" w:themeColor="text1"/>
                <w:kern w:val="0"/>
                <w:sz w:val="20"/>
                <w:szCs w:val="20"/>
                <w:highlight w:val="none"/>
                <w14:textFill>
                  <w14:solidFill>
                    <w14:schemeClr w14:val="tx1"/>
                  </w14:solidFill>
                </w14:textFill>
              </w:rPr>
            </w:pPr>
            <w:r>
              <w:rPr>
                <w:rFonts w:hint="default" w:ascii="Times New Roman" w:hAnsi="Times New Roman" w:eastAsia="楷体" w:cs="Times New Roman"/>
                <w:color w:val="000000" w:themeColor="text1"/>
                <w:kern w:val="0"/>
                <w:sz w:val="20"/>
                <w:szCs w:val="20"/>
                <w:highlight w:val="none"/>
                <w14:textFill>
                  <w14:solidFill>
                    <w14:schemeClr w14:val="tx1"/>
                  </w14:solidFill>
                </w14:textFill>
              </w:rPr>
              <w:t>约束性</w:t>
            </w:r>
          </w:p>
        </w:tc>
      </w:tr>
      <w:bookmarkEnd w:id="14"/>
    </w:tbl>
    <w:p w14:paraId="7C92D6DD">
      <w:pPr>
        <w:pStyle w:val="2"/>
        <w:keepNext w:val="0"/>
        <w:keepLines w:val="0"/>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lang w:eastAsia="zh"/>
          <w14:textFill>
            <w14:solidFill>
              <w14:schemeClr w14:val="tx1"/>
            </w14:solidFill>
          </w14:textFill>
          <w:woUserID w:val="3"/>
        </w:rPr>
      </w:pPr>
      <w:bookmarkStart w:id="15" w:name="_Toc32342"/>
      <w:r>
        <w:rPr>
          <w:rFonts w:hint="default" w:ascii="Times New Roman" w:hAnsi="Times New Roman" w:cs="Times New Roman"/>
          <w:color w:val="000000" w:themeColor="text1"/>
          <w:highlight w:val="none"/>
          <w:lang w:eastAsia="zh"/>
          <w14:textFill>
            <w14:solidFill>
              <w14:schemeClr w14:val="tx1"/>
            </w14:solidFill>
          </w14:textFill>
          <w:woUserID w:val="3"/>
        </w:rPr>
        <w:t>第</w:t>
      </w:r>
      <w:r>
        <w:rPr>
          <w:rFonts w:hint="default" w:ascii="Times New Roman" w:hAnsi="Times New Roman" w:cs="Times New Roman"/>
          <w:color w:val="000000" w:themeColor="text1"/>
          <w:highlight w:val="none"/>
          <w:lang w:val="en-US" w:eastAsia="zh-CN"/>
          <w14:textFill>
            <w14:solidFill>
              <w14:schemeClr w14:val="tx1"/>
            </w14:solidFill>
          </w14:textFill>
          <w:woUserID w:val="3"/>
        </w:rPr>
        <w:t>三</w:t>
      </w:r>
      <w:r>
        <w:rPr>
          <w:rFonts w:hint="default" w:ascii="Times New Roman" w:hAnsi="Times New Roman" w:cs="Times New Roman"/>
          <w:color w:val="000000" w:themeColor="text1"/>
          <w:highlight w:val="none"/>
          <w:lang w:eastAsia="zh"/>
          <w14:textFill>
            <w14:solidFill>
              <w14:schemeClr w14:val="tx1"/>
            </w14:solidFill>
          </w14:textFill>
          <w:woUserID w:val="3"/>
        </w:rPr>
        <w:t>篇 加快农业农村现代化，扎实推进乡村全面振兴</w:t>
      </w:r>
      <w:bookmarkEnd w:id="15"/>
    </w:p>
    <w:p w14:paraId="2EC55D03">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eastAsia="zh"/>
          <w14:textFill>
            <w14:solidFill>
              <w14:schemeClr w14:val="tx1"/>
            </w14:solidFill>
          </w14:textFill>
        </w:rPr>
      </w:pPr>
      <w:r>
        <w:rPr>
          <w:rFonts w:hint="eastAsia" w:ascii="仿宋" w:hAnsi="仿宋" w:eastAsia="仿宋" w:cs="仿宋"/>
          <w:color w:val="000000" w:themeColor="text1"/>
          <w:lang w:eastAsia="zh"/>
          <w14:textFill>
            <w14:solidFill>
              <w14:schemeClr w14:val="tx1"/>
            </w14:solidFill>
          </w14:textFill>
        </w:rPr>
        <w:t>纵深推进现代农业产业“一号发展工程”，系统布局科技、绿色、质量、品牌“四轮驱动”，全力将农业打造为现代化大产业。同步推动农村人居环境与生活品质全面升级，坚决在农业农村现代化新征程上走在前、作表率。</w:t>
      </w:r>
    </w:p>
    <w:p w14:paraId="6D5291F1">
      <w:pPr>
        <w:pStyle w:val="3"/>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eastAsia" w:ascii="楷体" w:hAnsi="楷体" w:eastAsia="楷体" w:cs="楷体"/>
          <w:color w:val="000000" w:themeColor="text1"/>
          <w:highlight w:val="none"/>
          <w:lang w:eastAsia="zh"/>
          <w14:textFill>
            <w14:solidFill>
              <w14:schemeClr w14:val="tx1"/>
            </w14:solidFill>
          </w14:textFill>
          <w:woUserID w:val="3"/>
        </w:rPr>
      </w:pPr>
      <w:bookmarkStart w:id="16" w:name="_Toc7466"/>
      <w:r>
        <w:rPr>
          <w:rFonts w:hint="eastAsia" w:ascii="楷体" w:hAnsi="楷体" w:eastAsia="楷体" w:cs="楷体"/>
          <w:color w:val="000000" w:themeColor="text1"/>
          <w:highlight w:val="none"/>
          <w:lang w:eastAsia="zh"/>
          <w14:textFill>
            <w14:solidFill>
              <w14:schemeClr w14:val="tx1"/>
            </w14:solidFill>
          </w14:textFill>
          <w:woUserID w:val="3"/>
        </w:rPr>
        <w:t>第</w:t>
      </w:r>
      <w:r>
        <w:rPr>
          <w:rFonts w:hint="eastAsia" w:ascii="楷体" w:hAnsi="楷体" w:eastAsia="楷体" w:cs="楷体"/>
          <w:color w:val="000000" w:themeColor="text1"/>
          <w:highlight w:val="none"/>
          <w:lang w:val="en-US" w:eastAsia="zh-CN"/>
          <w14:textFill>
            <w14:solidFill>
              <w14:schemeClr w14:val="tx1"/>
            </w14:solidFill>
          </w14:textFill>
          <w:woUserID w:val="3"/>
        </w:rPr>
        <w:t>八</w:t>
      </w:r>
      <w:r>
        <w:rPr>
          <w:rFonts w:hint="eastAsia" w:ascii="楷体" w:hAnsi="楷体" w:eastAsia="楷体" w:cs="楷体"/>
          <w:color w:val="000000" w:themeColor="text1"/>
          <w:highlight w:val="none"/>
          <w:lang w:eastAsia="zh"/>
          <w14:textFill>
            <w14:solidFill>
              <w14:schemeClr w14:val="tx1"/>
            </w14:solidFill>
          </w14:textFill>
          <w:woUserID w:val="3"/>
        </w:rPr>
        <w:t xml:space="preserve">章 </w:t>
      </w:r>
      <w:bookmarkEnd w:id="16"/>
      <w:r>
        <w:rPr>
          <w:rFonts w:hint="eastAsia" w:ascii="楷体" w:hAnsi="楷体" w:eastAsia="楷体" w:cs="楷体"/>
          <w:color w:val="000000" w:themeColor="text1"/>
          <w:highlight w:val="none"/>
          <w:lang w:eastAsia="zh"/>
          <w14:textFill>
            <w14:solidFill>
              <w14:schemeClr w14:val="tx1"/>
            </w14:solidFill>
          </w14:textFill>
          <w:woUserID w:val="3"/>
        </w:rPr>
        <w:t>构建更稳固的粮食生产能力体系</w:t>
      </w:r>
    </w:p>
    <w:p w14:paraId="1B784180">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以深入实施新一轮千万吨粮食增产计划为统领，统筹产量产能、生产生态与增产增收。聚焦“稳面积、提单产、减损耗”三大关键行动，全力攻坚，确保到2030年粮食产量稳定在</w:t>
      </w:r>
      <w:r>
        <w:rPr>
          <w:rFonts w:hint="eastAsia" w:ascii="仿宋" w:hAnsi="仿宋" w:eastAsia="仿宋" w:cs="仿宋"/>
          <w:color w:val="000000" w:themeColor="text1"/>
          <w:lang w:val="en-US" w:eastAsia="zh-CN"/>
          <w14:textFill>
            <w14:solidFill>
              <w14:schemeClr w14:val="tx1"/>
            </w14:solidFill>
          </w14:textFill>
        </w:rPr>
        <w:t>1.06</w:t>
      </w:r>
      <w:r>
        <w:rPr>
          <w:rFonts w:hint="eastAsia" w:ascii="仿宋" w:hAnsi="仿宋" w:eastAsia="仿宋" w:cs="仿宋"/>
          <w:color w:val="000000" w:themeColor="text1"/>
          <w14:textFill>
            <w14:solidFill>
              <w14:schemeClr w14:val="tx1"/>
            </w14:solidFill>
          </w14:textFill>
        </w:rPr>
        <w:t>亿斤以上，坚决扛稳维护国家粮食安全的政治责任。</w:t>
      </w:r>
    </w:p>
    <w:p w14:paraId="7317A7E5">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u w:val="none"/>
          <w:lang w:val="en-US" w:eastAsia="zh-CN"/>
          <w14:textFill>
            <w14:solidFill>
              <w14:schemeClr w14:val="tx1"/>
            </w14:solidFill>
          </w14:textFill>
          <w:woUserID w:val="3"/>
        </w:rPr>
      </w:pPr>
      <w:r>
        <w:rPr>
          <w:rFonts w:hint="eastAsia" w:ascii="仿宋" w:hAnsi="仿宋" w:eastAsia="仿宋" w:cs="仿宋"/>
          <w:b/>
          <w:bCs/>
          <w:color w:val="000000" w:themeColor="text1"/>
          <w:highlight w:val="none"/>
          <w:lang w:val="en-US" w:eastAsia="zh-CN"/>
          <w14:textFill>
            <w14:solidFill>
              <w14:schemeClr w14:val="tx1"/>
            </w14:solidFill>
          </w14:textFill>
          <w:woUserID w:val="3"/>
        </w:rPr>
        <w:t xml:space="preserve">第一节 </w:t>
      </w:r>
      <w:r>
        <w:rPr>
          <w:rFonts w:hint="eastAsia" w:ascii="仿宋" w:hAnsi="仿宋" w:eastAsia="仿宋" w:cs="仿宋"/>
          <w:b/>
          <w:bCs/>
          <w:color w:val="000000" w:themeColor="text1"/>
          <w:highlight w:val="none"/>
          <w:lang w:eastAsia="zh"/>
          <w14:textFill>
            <w14:solidFill>
              <w14:schemeClr w14:val="tx1"/>
            </w14:solidFill>
          </w14:textFill>
          <w:woUserID w:val="3"/>
        </w:rPr>
        <w:t>全面推进黑土地保护与可持续利用。</w:t>
      </w:r>
      <w:r>
        <w:rPr>
          <w:rFonts w:hint="eastAsia" w:ascii="仿宋" w:hAnsi="仿宋" w:eastAsia="仿宋" w:cs="仿宋"/>
          <w:color w:val="000000" w:themeColor="text1"/>
          <w:highlight w:val="none"/>
          <w:lang w:eastAsia="zh"/>
          <w14:textFill>
            <w14:solidFill>
              <w14:schemeClr w14:val="tx1"/>
            </w14:solidFill>
          </w14:textFill>
          <w:woUserID w:val="3"/>
        </w:rPr>
        <w:t>严守耕地红线，严格占补平衡管理。建立耕地种植用途监测体系，坚持良田粮用，健全保障耕地用于种植基本农作物管理体系，坚决遏制耕地“非农化”、防止“非粮化”。加强黑土地质量提升，推广以旱田“一翻两免”、水田“一翻两旋”为核心的秸秆还田技术，分类集成普及增施有机肥、科学轮作、测土配方施肥、安全用药等配套技术措施，提升土壤有机质含量和基础地力。</w:t>
      </w:r>
      <w:r>
        <w:rPr>
          <w:rFonts w:hint="eastAsia" w:ascii="仿宋" w:hAnsi="仿宋" w:eastAsia="仿宋" w:cs="仿宋"/>
          <w:color w:val="000000" w:themeColor="text1"/>
          <w:highlight w:val="none"/>
          <w:u w:val="none"/>
          <w:lang w:eastAsia="zh"/>
          <w14:textFill>
            <w14:solidFill>
              <w14:schemeClr w14:val="tx1"/>
            </w14:solidFill>
          </w14:textFill>
          <w:woUserID w:val="3"/>
        </w:rPr>
        <w:t>高质量推进高标准农田建设，完善推广高标准农田“投融建运管”一体化推进机制，支持引导新型农业经营主体、农村集体经济组织等参与建设管护，力争到2030年将符合要求的耕地全部建成高标准农田。</w:t>
      </w:r>
      <w:r>
        <w:rPr>
          <w:rFonts w:hint="eastAsia" w:ascii="仿宋" w:hAnsi="仿宋" w:eastAsia="仿宋" w:cs="仿宋"/>
          <w:color w:val="000000" w:themeColor="text1"/>
          <w:highlight w:val="none"/>
          <w:lang w:eastAsia="zh"/>
          <w14:textFill>
            <w14:solidFill>
              <w14:schemeClr w14:val="tx1"/>
            </w14:solidFill>
          </w14:textFill>
          <w:woUserID w:val="3"/>
        </w:rPr>
        <w:t>保护和调动农民务农种粮积极性，落实玉米大豆生产者补贴、稻谷补贴、耕地地力保护补贴政策，扩大稻谷、玉米、大豆完全成本保险和种植收入保险投保面积</w:t>
      </w:r>
      <w:r>
        <w:rPr>
          <w:rFonts w:hint="eastAsia" w:ascii="仿宋" w:hAnsi="仿宋" w:eastAsia="仿宋" w:cs="仿宋"/>
          <w:color w:val="000000" w:themeColor="text1"/>
          <w:highlight w:val="none"/>
          <w:u w:val="none"/>
          <w:lang w:eastAsia="zh-CN"/>
          <w14:textFill>
            <w14:solidFill>
              <w14:schemeClr w14:val="tx1"/>
            </w14:solidFill>
          </w14:textFill>
          <w:woUserID w:val="3"/>
        </w:rPr>
        <w:t>，</w:t>
      </w:r>
      <w:r>
        <w:rPr>
          <w:rFonts w:hint="eastAsia" w:ascii="仿宋" w:hAnsi="仿宋" w:eastAsia="仿宋" w:cs="仿宋"/>
          <w:color w:val="000000" w:themeColor="text1"/>
          <w:highlight w:val="none"/>
          <w:u w:val="none"/>
          <w:lang w:val="en-US" w:eastAsia="zh-CN"/>
          <w14:textFill>
            <w14:solidFill>
              <w14:schemeClr w14:val="tx1"/>
            </w14:solidFill>
          </w14:textFill>
          <w:woUserID w:val="3"/>
        </w:rPr>
        <w:t>确保优质粮食播种面积稳定在11万亩左右。</w:t>
      </w:r>
    </w:p>
    <w:p w14:paraId="684AB4EB">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3"/>
        </w:rPr>
      </w:pPr>
      <w:r>
        <w:rPr>
          <w:rFonts w:hint="eastAsia" w:ascii="仿宋" w:hAnsi="仿宋" w:eastAsia="仿宋" w:cs="仿宋"/>
          <w:b/>
          <w:bCs/>
          <w:color w:val="000000" w:themeColor="text1"/>
          <w:highlight w:val="none"/>
          <w:lang w:val="en-US" w:eastAsia="zh-CN"/>
          <w14:textFill>
            <w14:solidFill>
              <w14:schemeClr w14:val="tx1"/>
            </w14:solidFill>
          </w14:textFill>
          <w:woUserID w:val="3"/>
        </w:rPr>
        <w:t xml:space="preserve">第二节 </w:t>
      </w:r>
      <w:r>
        <w:rPr>
          <w:rFonts w:hint="eastAsia" w:ascii="仿宋" w:hAnsi="仿宋" w:eastAsia="仿宋" w:cs="仿宋"/>
          <w:b/>
          <w:bCs/>
          <w:color w:val="000000" w:themeColor="text1"/>
          <w:highlight w:val="none"/>
          <w:lang w:eastAsia="zh"/>
          <w14:textFill>
            <w14:solidFill>
              <w14:schemeClr w14:val="tx1"/>
            </w14:solidFill>
          </w14:textFill>
          <w:woUserID w:val="3"/>
        </w:rPr>
        <w:t>全力抓好粮食</w:t>
      </w:r>
      <w:r>
        <w:rPr>
          <w:rFonts w:hint="eastAsia" w:ascii="仿宋" w:hAnsi="仿宋" w:eastAsia="仿宋" w:cs="仿宋"/>
          <w:b/>
          <w:bCs/>
          <w:color w:val="000000" w:themeColor="text1"/>
          <w:highlight w:val="none"/>
          <w:lang w:val="en-US" w:eastAsia="zh-CN"/>
          <w14:textFill>
            <w14:solidFill>
              <w14:schemeClr w14:val="tx1"/>
            </w14:solidFill>
          </w14:textFill>
          <w:woUserID w:val="3"/>
        </w:rPr>
        <w:t>作物</w:t>
      </w:r>
      <w:r>
        <w:rPr>
          <w:rFonts w:hint="eastAsia" w:ascii="仿宋" w:hAnsi="仿宋" w:eastAsia="仿宋" w:cs="仿宋"/>
          <w:b/>
          <w:bCs/>
          <w:color w:val="000000" w:themeColor="text1"/>
          <w:highlight w:val="none"/>
          <w:lang w:eastAsia="zh"/>
          <w14:textFill>
            <w14:solidFill>
              <w14:schemeClr w14:val="tx1"/>
            </w14:solidFill>
          </w14:textFill>
          <w:woUserID w:val="3"/>
        </w:rPr>
        <w:t>单产大面积提升行动。</w:t>
      </w:r>
      <w:r>
        <w:rPr>
          <w:rFonts w:hint="eastAsia" w:ascii="仿宋" w:hAnsi="仿宋" w:eastAsia="仿宋" w:cs="仿宋"/>
          <w:color w:val="000000" w:themeColor="text1"/>
          <w:highlight w:val="none"/>
          <w:lang w:eastAsia="zh"/>
          <w14:textFill>
            <w14:solidFill>
              <w14:schemeClr w14:val="tx1"/>
            </w14:solidFill>
          </w14:textFill>
          <w:woUserID w:val="3"/>
        </w:rPr>
        <w:t>深入实施粮食产能提升“双十双百双千双万”工程，促进良田良种良机良法集成增效。发挥好域内省级农业科研院所、各级农业技术推广队伍作用，深入开展以“科研院所联</w:t>
      </w:r>
      <w:r>
        <w:rPr>
          <w:rFonts w:hint="eastAsia" w:ascii="仿宋" w:hAnsi="仿宋" w:eastAsia="仿宋" w:cs="仿宋"/>
          <w:color w:val="000000" w:themeColor="text1"/>
          <w:highlight w:val="none"/>
          <w:lang w:val="en-US" w:eastAsia="zh-CN"/>
          <w14:textFill>
            <w14:solidFill>
              <w14:schemeClr w14:val="tx1"/>
            </w14:solidFill>
          </w14:textFill>
          <w:woUserID w:val="3"/>
        </w:rPr>
        <w:t>区</w:t>
      </w:r>
      <w:r>
        <w:rPr>
          <w:rFonts w:hint="eastAsia" w:ascii="仿宋" w:hAnsi="仿宋" w:eastAsia="仿宋" w:cs="仿宋"/>
          <w:color w:val="000000" w:themeColor="text1"/>
          <w:highlight w:val="none"/>
          <w:lang w:eastAsia="zh"/>
          <w14:textFill>
            <w14:solidFill>
              <w14:schemeClr w14:val="tx1"/>
            </w14:solidFill>
          </w14:textFill>
          <w:woUserID w:val="3"/>
        </w:rPr>
        <w:t>、农业专家联乡（镇）、农技人员联村”为主要内容的先进技术推广行动，以主攻单产、改善品质、提升效益为目标，加快普及玉米（大豆）大垄密植、种肥一体等增产技术。完善便捷高效的农业社会化服务体系，鼓励新型经营主体为小农户开展“全产业链”农业社会化服务</w:t>
      </w:r>
      <w:r>
        <w:rPr>
          <w:rFonts w:hint="eastAsia" w:ascii="仿宋" w:hAnsi="仿宋" w:eastAsia="仿宋" w:cs="仿宋"/>
          <w:color w:val="000000" w:themeColor="text1"/>
          <w:highlight w:val="none"/>
          <w:lang w:eastAsia="zh-CN"/>
          <w14:textFill>
            <w14:solidFill>
              <w14:schemeClr w14:val="tx1"/>
            </w14:solidFill>
          </w14:textFill>
          <w:woUserID w:val="3"/>
        </w:rPr>
        <w:t>。</w:t>
      </w:r>
      <w:r>
        <w:rPr>
          <w:rFonts w:hint="eastAsia" w:ascii="仿宋" w:hAnsi="仿宋" w:eastAsia="仿宋" w:cs="仿宋"/>
          <w:color w:val="000000" w:themeColor="text1"/>
          <w:highlight w:val="none"/>
          <w:lang w:val="en-US" w:eastAsia="zh-CN"/>
          <w14:textFill>
            <w14:solidFill>
              <w14:schemeClr w14:val="tx1"/>
            </w14:solidFill>
          </w14:textFill>
          <w:woUserID w:val="3"/>
        </w:rPr>
        <w:t>力争到2030年，</w:t>
      </w:r>
      <w:r>
        <w:rPr>
          <w:rFonts w:hint="eastAsia" w:ascii="仿宋" w:hAnsi="仿宋" w:eastAsia="仿宋" w:cs="仿宋"/>
          <w:color w:val="000000" w:themeColor="text1"/>
          <w:highlight w:val="none"/>
          <w:lang w:eastAsia="zh"/>
          <w14:textFill>
            <w14:solidFill>
              <w14:schemeClr w14:val="tx1"/>
            </w14:solidFill>
          </w14:textFill>
          <w:woUserID w:val="3"/>
        </w:rPr>
        <w:t>农业生产托管面积达到8万亩以上。</w:t>
      </w:r>
    </w:p>
    <w:p w14:paraId="30158FF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u w:val="single"/>
          <w:lang w:val="en-US" w:eastAsia="zh-CN" w:bidi="ar"/>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第三节 全面提升农业抵御灾害与风险减损能力。</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强化农业气象灾害监测预警能力建设，加快布局精细化田间小气候观测站，完善干旱、洪涝、低温冷害等灾害预警信息发布网络。依托区域农业社会化服务中心等载体，积极推广抗病良种、生态调控、生物防治等绿色技术，建设数字化病虫害监测网点，提升农作物病虫害智能化监测与高效防控水平。</w:t>
      </w:r>
      <w:r>
        <w:rPr>
          <w:rFonts w:hint="eastAsia" w:ascii="仿宋" w:hAnsi="仿宋" w:eastAsia="仿宋" w:cs="仿宋"/>
          <w:color w:val="000000" w:themeColor="text1"/>
          <w:kern w:val="2"/>
          <w:sz w:val="32"/>
          <w:szCs w:val="32"/>
          <w:highlight w:val="none"/>
          <w:u w:val="none"/>
          <w:lang w:val="en-US" w:eastAsia="zh-CN" w:bidi="ar"/>
          <w14:textFill>
            <w14:solidFill>
              <w14:schemeClr w14:val="tx1"/>
            </w14:solidFill>
          </w14:textFill>
          <w:woUserID w:val="3"/>
        </w:rPr>
        <w:t>推进农田水利设施贯通配套，深入实施灌区续建配套与现代化改造，加强节水型灌区建设，扎实开展农田沟渠修复整治，提高灌溉排涝能力。</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构建全链条节粮减损体系，加大先进适用精量播种机、智能绿色高效收获机械等研发推广力度，支持粮库、加工企业开展仓储设施绿色智能化升级，</w:t>
      </w:r>
      <w:r>
        <w:rPr>
          <w:rFonts w:hint="eastAsia" w:ascii="仿宋" w:hAnsi="仿宋" w:eastAsia="仿宋" w:cs="仿宋"/>
          <w:color w:val="000000" w:themeColor="text1"/>
          <w:kern w:val="2"/>
          <w:sz w:val="32"/>
          <w:szCs w:val="32"/>
          <w:highlight w:val="none"/>
          <w:u w:val="none"/>
          <w:lang w:val="en-US" w:eastAsia="zh-CN" w:bidi="ar"/>
          <w14:textFill>
            <w14:solidFill>
              <w14:schemeClr w14:val="tx1"/>
            </w14:solidFill>
          </w14:textFill>
          <w:woUserID w:val="3"/>
        </w:rPr>
        <w:t>持续普及农户科学储粮装具和粮食高效减损物流模式，加强粮食资源综合利用，建立健全餐饮节约管理长效机制。</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741E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4"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2C5284DC">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0" w:firstLineChars="200"/>
              <w:jc w:val="center"/>
              <w:rPr>
                <w:rFonts w:hint="default" w:ascii="Times New Roman" w:hAnsi="Times New Roman" w:eastAsia="微软雅黑" w:cs="Times New Roman"/>
                <w:color w:val="000000" w:themeColor="text1"/>
                <w:kern w:val="2"/>
                <w:sz w:val="32"/>
                <w:szCs w:val="32"/>
                <w:highlight w:val="none"/>
                <w:lang w:eastAsia="zh"/>
                <w14:textFill>
                  <w14:solidFill>
                    <w14:schemeClr w14:val="tx1"/>
                  </w14:solidFill>
                </w14:textFill>
                <w:woUserID w:val="3"/>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专栏</w:t>
            </w:r>
            <w:r>
              <w:rPr>
                <w:rFonts w:hint="eastAsia" w:eastAsia="微软雅黑" w:cs="Times New Roman"/>
                <w:color w:val="000000" w:themeColor="text1"/>
                <w:kern w:val="2"/>
                <w:sz w:val="24"/>
                <w:szCs w:val="24"/>
                <w:highlight w:val="none"/>
                <w:lang w:val="en-US" w:eastAsia="zh-CN" w:bidi="ar"/>
                <w14:textFill>
                  <w14:solidFill>
                    <w14:schemeClr w14:val="tx1"/>
                  </w14:solidFill>
                </w14:textFill>
                <w:woUserID w:val="3"/>
              </w:rPr>
              <w:t>3</w:t>
            </w: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-1   粮食产能提升重大</w:t>
            </w:r>
            <w:r>
              <w:rPr>
                <w:rFonts w:hint="default" w:ascii="Times New Roman" w:hAnsi="Times New Roman" w:eastAsia="微软雅黑" w:cs="Times New Roman"/>
                <w:color w:val="000000" w:themeColor="text1"/>
                <w:kern w:val="2"/>
                <w:sz w:val="24"/>
                <w:szCs w:val="24"/>
                <w:highlight w:val="none"/>
                <w:lang w:val="en-US" w:eastAsia="zh" w:bidi="ar"/>
                <w14:textFill>
                  <w14:solidFill>
                    <w14:schemeClr w14:val="tx1"/>
                  </w14:solidFill>
                </w14:textFill>
                <w:woUserID w:val="3"/>
              </w:rPr>
              <w:t>项目</w:t>
            </w:r>
          </w:p>
        </w:tc>
      </w:tr>
      <w:tr w14:paraId="304F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78830E7A">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0"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1.</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东风区高标准农田项目。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计划新建2.11万亩，改造提升4.77万亩</w:t>
            </w:r>
            <w:r>
              <w:rPr>
                <w:rFonts w:hint="default" w:ascii="Times New Roman" w:hAnsi="Times New Roman" w:cs="Times New Roman"/>
                <w:color w:val="000000" w:themeColor="text1"/>
                <w:kern w:val="2"/>
                <w:sz w:val="24"/>
                <w:szCs w:val="24"/>
                <w:highlight w:val="none"/>
                <w:lang w:val="en-US" w:eastAsia="zh" w:bidi="ar"/>
                <w14:textFill>
                  <w14:solidFill>
                    <w14:schemeClr w14:val="tx1"/>
                  </w14:solidFill>
                </w14:textFill>
                <w:woUserID w:val="3"/>
              </w:rPr>
              <w:t>，覆盖2个乡镇共11个行政村</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w:t>
            </w:r>
          </w:p>
          <w:p w14:paraId="647A914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0"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2.</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东风区智能农业机械制造项目。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建设集研发、生产、销售、服务于一体的区域性智能农业机械制造</w:t>
            </w:r>
            <w:r>
              <w:rPr>
                <w:rFonts w:hint="eastAsia" w:cs="Times New Roman"/>
                <w:color w:val="000000" w:themeColor="text1"/>
                <w:kern w:val="2"/>
                <w:sz w:val="24"/>
                <w:szCs w:val="24"/>
                <w:highlight w:val="none"/>
                <w:lang w:val="en-US" w:eastAsia="zh-CN" w:bidi="ar"/>
                <w14:textFill>
                  <w14:solidFill>
                    <w14:schemeClr w14:val="tx1"/>
                  </w14:solidFill>
                </w14:textFill>
                <w:woUserID w:val="3"/>
              </w:rPr>
              <w:t>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搭载数字化生产平台，生产智能农机设备。</w:t>
            </w:r>
          </w:p>
          <w:p w14:paraId="2FC5A8B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0"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3.</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东风区大宗粮食期货交割库项目。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建设集标准化仓储、智能化监管、期现结合交易、供应链于一体的区域性大宗粮食期货交割库，配套建设铁路专用线、中转场站、烘干系统、检斤化验室等‌。</w:t>
            </w:r>
          </w:p>
          <w:p w14:paraId="717EB627">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0"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4.</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大马力拖拉机和高速插秧机生产项目。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建设国内领先、辐射区域的大马力智能拖拉机与高速智能插秧机研发制造基地，打造区域高端农机装备产业核心。</w:t>
            </w:r>
          </w:p>
          <w:p w14:paraId="05B4E86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0"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5.</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东风区智能强排站工程。</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主要建设排水管道系统、强排泵站、雨水收集与调蓄设施、河道整治与生态护岸及附属设施等。</w:t>
            </w:r>
          </w:p>
        </w:tc>
      </w:tr>
    </w:tbl>
    <w:p w14:paraId="2459BA9B">
      <w:pPr>
        <w:pStyle w:val="3"/>
        <w:keepNext w:val="0"/>
        <w:keepLines w:val="0"/>
        <w:pageBreakBefore w:val="0"/>
        <w:widowControl w:val="0"/>
        <w:suppressLineNumbers w:val="0"/>
        <w:kinsoku/>
        <w:wordWrap/>
        <w:topLinePunct w:val="0"/>
        <w:autoSpaceDN/>
        <w:bidi w:val="0"/>
        <w:snapToGrid w:val="0"/>
        <w:spacing w:beforeAutospacing="0" w:afterAutospacing="0" w:line="600" w:lineRule="exact"/>
        <w:ind w:left="0" w:firstLine="0" w:firstLineChars="0"/>
        <w:jc w:val="cente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3"/>
        </w:rPr>
      </w:pPr>
      <w:bookmarkStart w:id="17" w:name="_Toc9913"/>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3"/>
        </w:rPr>
        <w:t>第</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3"/>
        </w:rPr>
        <w:t>九</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3"/>
        </w:rPr>
        <w:t>章 加快发展现代化大农业</w:t>
      </w:r>
      <w:bookmarkEnd w:id="17"/>
    </w:p>
    <w:p w14:paraId="0240A5CC">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0" w:firstLineChars="200"/>
        <w:jc w:val="both"/>
        <w:rPr>
          <w:rFonts w:hint="eastAsia" w:ascii="仿宋" w:hAnsi="仿宋" w:eastAsia="仿宋" w:cs="仿宋"/>
          <w:color w:val="000000" w:themeColor="text1"/>
          <w:lang w:eastAsia="zh"/>
          <w14:textFill>
            <w14:solidFill>
              <w14:schemeClr w14:val="tx1"/>
            </w14:solidFill>
          </w14:textFill>
        </w:rPr>
      </w:pPr>
      <w:r>
        <w:rPr>
          <w:rFonts w:hint="eastAsia" w:ascii="仿宋" w:hAnsi="仿宋" w:eastAsia="仿宋" w:cs="仿宋"/>
          <w:color w:val="000000" w:themeColor="text1"/>
          <w:lang w:eastAsia="zh"/>
          <w14:textFill>
            <w14:solidFill>
              <w14:schemeClr w14:val="tx1"/>
            </w14:solidFill>
          </w14:textFill>
        </w:rPr>
        <w:t>聚焦现代化大农业主攻方向，围绕壮大特色产业、强化科技支撑、变革经营组织方式</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eastAsia="zh"/>
          <w14:textFill>
            <w14:solidFill>
              <w14:schemeClr w14:val="tx1"/>
            </w14:solidFill>
          </w14:textFill>
        </w:rPr>
        <w:t>三大关键</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eastAsia="zh"/>
          <w14:textFill>
            <w14:solidFill>
              <w14:schemeClr w14:val="tx1"/>
            </w14:solidFill>
          </w14:textFill>
        </w:rPr>
        <w:t>，系统推进延链增值与品牌建设。力争在构建现代农业生产、产业、经营体系上实现突破，带动农业增效、农民增收走在前列。</w:t>
      </w:r>
    </w:p>
    <w:p w14:paraId="6DD591CC">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val="0"/>
          <w:bCs w:val="0"/>
          <w:color w:val="000000" w:themeColor="text1"/>
          <w:kern w:val="2"/>
          <w:sz w:val="32"/>
          <w:szCs w:val="32"/>
          <w:highlight w:val="none"/>
          <w:u w:val="none"/>
          <w:lang w:val="en-US"/>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第一节 筑牢特色种业发展根基。</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3"/>
        </w:rPr>
        <w:t>积极参与佳木斯市农作物原（良）种示范带构建，深入推进“建国种业小镇”建设，加快种质资源库建设，推进种业小镇创新发展，开展水稻、大豆、玉米等种源技术攻关，协同崖州湾国家实验室种子产业基地，培育突破性新品种和种业创新领军企业，构建“育繁推一体、产学研融合、产加销协同”现代化种业体系，完善品种展示示范、质量检测、产权交易与保护服务功能。高标准建设规模化、标准化制种基地，健全种子质量全程可追溯体系。持续完善种子加工、仓储、物流等配套设施与服务，巩固并提升在全国寒地水稻种业领域的领先优势。</w:t>
      </w:r>
      <w:r>
        <w:rPr>
          <w:rFonts w:hint="eastAsia" w:ascii="仿宋" w:hAnsi="仿宋" w:eastAsia="仿宋" w:cs="仿宋"/>
          <w:b w:val="0"/>
          <w:bCs w:val="0"/>
          <w:color w:val="000000" w:themeColor="text1"/>
          <w:kern w:val="2"/>
          <w:sz w:val="32"/>
          <w:szCs w:val="32"/>
          <w:highlight w:val="none"/>
          <w:u w:val="none"/>
          <w:lang w:val="en-US" w:eastAsia="zh-CN" w:bidi="ar"/>
          <w14:textFill>
            <w14:solidFill>
              <w14:schemeClr w14:val="tx1"/>
            </w14:solidFill>
          </w14:textFill>
          <w:woUserID w:val="3"/>
        </w:rPr>
        <w:t>力争到2030年，原种繁育面积稳定在5万亩以上。</w:t>
      </w:r>
    </w:p>
    <w:p w14:paraId="27D7ADC7">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u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第二节 以新质生产力引领农业现代化。</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主动承接农高区创新辐射，重点推动人工智能、物联网、北斗卫星、大数据技术等在现代农业中的场景化应用。建设智慧农业应用示范基地，集成推广智能灌溉、作物长势无人机遥感监测、病虫害智能识别与精准防控等适用技术。探索“低空经济+农业”，支持开展无人机植保、农情监测、运输投送等社会化服务。鼓励本土种业企业与科研单位合作，参与品种选育与推广。加快高端智能农机装备推广，鼓励农机合作社、家庭农场应用大马力拖拉机、精量播种机、智能收获机及配套监控设备，试点推广基于北斗的农机自动驾驶、作业监测技术。积极对接农高区智能农机研发成果，开展适用机型本地化试验示范。加快推动农业生产数字化转型，积极开展智慧农场试点建设。</w:t>
      </w:r>
      <w:r>
        <w:rPr>
          <w:rFonts w:hint="eastAsia" w:ascii="仿宋" w:hAnsi="仿宋" w:eastAsia="仿宋" w:cs="仿宋"/>
          <w:color w:val="000000" w:themeColor="text1"/>
          <w:kern w:val="2"/>
          <w:sz w:val="32"/>
          <w:szCs w:val="32"/>
          <w:highlight w:val="none"/>
          <w:u w:val="none"/>
          <w:lang w:val="en-US" w:eastAsia="zh-CN" w:bidi="ar"/>
          <w14:textFill>
            <w14:solidFill>
              <w14:schemeClr w14:val="tx1"/>
            </w14:solidFill>
          </w14:textFill>
          <w:woUserID w:val="3"/>
        </w:rPr>
        <w:t>力争到2030年，农业生产信息化率达到60%以上。</w:t>
      </w:r>
    </w:p>
    <w:p w14:paraId="2CB1F739">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第三节 全面推进农业发展绿色转型。</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3"/>
        </w:rPr>
        <w:t>大力发展农牧结合、种养循环的绿色生态农业，推广“秸秆-饲料-养殖-粪肥-还田”模式，构建农牧结合种养循环模式。支持养殖企业、合作社与种植主体对接，推动畜禽粪污资源化利用就近还田，提升黑土地有机质含量。</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做大做优绿色有机食品产业，扩大水稻、蔬菜、食用菌等绿色、有机食品认证面积和产品数量。深入推进化肥农药减量化行动，加强病虫害绿色防控和统防统治。规划建设一批高标准绿色粮仓、绿色菜园生产基地，对接佳木斯市“绿色厨房”供应链，提升优质农产品直供能力。健全区、乡（镇）、村三级农产品质量安全监管网络，推动农产品质量追溯体系覆盖主要生产经营主体。加强投入品监管和产地环境监测，确保产出产品符合绿色优质标准。</w:t>
      </w:r>
    </w:p>
    <w:p w14:paraId="08CB563F">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第四节 推动农业品牌化发展。</w:t>
      </w:r>
      <w:r>
        <w:rPr>
          <w:rFonts w:hint="eastAsia" w:ascii="仿宋" w:hAnsi="仿宋" w:eastAsia="仿宋" w:cs="仿宋"/>
          <w:b w:val="0"/>
          <w:bCs w:val="0"/>
          <w:color w:val="000000" w:themeColor="text1"/>
          <w:kern w:val="2"/>
          <w:sz w:val="32"/>
          <w:szCs w:val="32"/>
          <w:highlight w:val="none"/>
          <w:u w:val="none"/>
          <w:lang w:val="en-US" w:eastAsia="zh-CN" w:bidi="ar"/>
          <w14:textFill>
            <w14:solidFill>
              <w14:schemeClr w14:val="tx1"/>
            </w14:solidFill>
          </w14:textFill>
          <w:woUserID w:val="3"/>
        </w:rPr>
        <w:t>以绿色化、标准化为基石，系统推进农业品牌建设，全面提升农产品品牌的核心竞争力与市场影响力。重点</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围绕水稻、特色果蔬等主导产业，制定完善从田间到餐桌的全程生产技术规程和地方标准，推动规模经营主体按标生产。建设标准化生产示范基地，发挥示范引领作用。深度融入区域公用品牌体系，以全省“黑土优品”和全市“东极佳木斯·黑土好粮油”区域公用品牌为引领，重点做强“佳木斯大米”品牌东风区板块。</w:t>
      </w:r>
      <w:r>
        <w:rPr>
          <w:rFonts w:hint="eastAsia" w:ascii="仿宋" w:hAnsi="仿宋" w:eastAsia="仿宋" w:cs="仿宋"/>
          <w:color w:val="000000" w:themeColor="text1"/>
          <w:kern w:val="2"/>
          <w:sz w:val="32"/>
          <w:szCs w:val="32"/>
          <w:highlight w:val="none"/>
          <w:lang w:val="en-US" w:eastAsia="zh" w:bidi="ar"/>
          <w14:textFill>
            <w14:solidFill>
              <w14:schemeClr w14:val="tx1"/>
            </w14:solidFill>
          </w14:textFill>
          <w:woUserID w:val="3"/>
        </w:rPr>
        <w:t>以建国大米、松江蔬菜等优质农产品为抓手，加强无公害农产品、绿色食品、有机食品和地理标志农产品认证管理，扩大东风区农产品知名度和影响力。</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强化品牌授权管理与产品品质背书，规范用标行为。鼓励企业开发精品粮油、特色果蔬等定制化、高端化产品，发展定制农业、订单农业。构建多元化品牌营销渠道，组织区内优质农产品生产经营主体积极参与省、市举办的各类展会、节庆活动，探索利用电商平台、社交媒体等新媒体，开展“互联网+”农产品营销；推动优质农产品进机关、进企业、进社区，拓宽本地销售渠道。</w:t>
      </w:r>
    </w:p>
    <w:p w14:paraId="271DEB13">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val="0"/>
          <w:bCs w:val="0"/>
          <w:color w:val="000000" w:themeColor="text1"/>
          <w:kern w:val="2"/>
          <w:sz w:val="32"/>
          <w:szCs w:val="32"/>
          <w:highlight w:val="none"/>
          <w:u w:val="none"/>
          <w:lang w:val="en-US" w:eastAsia="zh-CN" w:bidi="ar"/>
          <w14:textFill>
            <w14:solidFill>
              <w14:schemeClr w14:val="tx1"/>
            </w14:solidFill>
          </w14:textFill>
          <w:woUserID w:val="3"/>
        </w:rPr>
      </w:pPr>
      <w:r>
        <w:rPr>
          <w:rFonts w:hint="eastAsia" w:ascii="仿宋" w:hAnsi="仿宋" w:eastAsia="仿宋" w:cs="仿宋"/>
          <w:b/>
          <w:bCs w:val="0"/>
          <w:color w:val="000000" w:themeColor="text1"/>
          <w:kern w:val="2"/>
          <w:sz w:val="32"/>
          <w:szCs w:val="32"/>
          <w:highlight w:val="none"/>
          <w:lang w:val="en-US" w:eastAsia="zh-CN" w:bidi="ar"/>
          <w14:textFill>
            <w14:solidFill>
              <w14:schemeClr w14:val="tx1"/>
            </w14:solidFill>
          </w14:textFill>
          <w:woUserID w:val="3"/>
        </w:rPr>
        <w:t>第五节 打造现代农业经营体系。</w:t>
      </w:r>
      <w:r>
        <w:rPr>
          <w:rFonts w:hint="eastAsia" w:ascii="仿宋" w:hAnsi="仿宋" w:eastAsia="仿宋" w:cs="仿宋"/>
          <w:b w:val="0"/>
          <w:bCs/>
          <w:color w:val="000000" w:themeColor="text1"/>
          <w:kern w:val="2"/>
          <w:sz w:val="32"/>
          <w:szCs w:val="32"/>
          <w:highlight w:val="none"/>
          <w:u w:val="none"/>
          <w:lang w:val="en-US" w:eastAsia="zh-CN" w:bidi="ar"/>
          <w14:textFill>
            <w14:solidFill>
              <w14:schemeClr w14:val="tx1"/>
            </w14:solidFill>
          </w14:textFill>
          <w:woUserID w:val="3"/>
        </w:rPr>
        <w:t>坚持“大稳定、小调整”，有序推进第二轮土地承包到期后再延长三十年试点，如期完成土地延包工作，深化承包地所有权、承包权、经营权分置改革，健全承包地集体所有权行使机制。</w:t>
      </w:r>
      <w:r>
        <w:rPr>
          <w:rFonts w:hint="eastAsia" w:ascii="仿宋" w:hAnsi="仿宋" w:eastAsia="仿宋" w:cs="仿宋"/>
          <w:b w:val="0"/>
          <w:bCs/>
          <w:color w:val="000000" w:themeColor="text1"/>
          <w:kern w:val="2"/>
          <w:sz w:val="32"/>
          <w:szCs w:val="32"/>
          <w:highlight w:val="none"/>
          <w:lang w:val="en-US" w:eastAsia="zh-CN" w:bidi="ar"/>
          <w14:textFill>
            <w14:solidFill>
              <w14:schemeClr w14:val="tx1"/>
            </w14:solidFill>
          </w14:textFill>
          <w:woUserID w:val="3"/>
        </w:rPr>
        <w:t>大力推广村集体牵头整村托管模式，支持村集体经济组织发挥组织优势，整合土地资源，统一对接社会化服务组织，为农户提供耕、种、管、收、销等环节的单环节、多环节或全程托管服务，提升农业规模经营效益。实施家庭农场培育计划和农民合作社规范提升行动，建立示范家庭农场和示范合作社名录，实行动态管理、择优扶持，</w:t>
      </w:r>
      <w:r>
        <w:rPr>
          <w:rFonts w:hint="eastAsia" w:ascii="仿宋" w:hAnsi="仿宋" w:eastAsia="仿宋" w:cs="仿宋"/>
          <w:b w:val="0"/>
          <w:bCs/>
          <w:color w:val="000000" w:themeColor="text1"/>
          <w:kern w:val="2"/>
          <w:sz w:val="32"/>
          <w:szCs w:val="32"/>
          <w:highlight w:val="none"/>
          <w:u w:val="none"/>
          <w:lang w:val="en-US" w:eastAsia="zh-CN" w:bidi="ar"/>
          <w14:textFill>
            <w14:solidFill>
              <w14:schemeClr w14:val="tx1"/>
            </w14:solidFill>
          </w14:textFill>
          <w:woUserID w:val="3"/>
        </w:rPr>
        <w:t>支持农民合作社依法自愿组建联合社。</w:t>
      </w:r>
      <w:r>
        <w:rPr>
          <w:rFonts w:hint="eastAsia" w:ascii="仿宋" w:hAnsi="仿宋" w:eastAsia="仿宋" w:cs="仿宋"/>
          <w:b w:val="0"/>
          <w:bCs/>
          <w:color w:val="000000" w:themeColor="text1"/>
          <w:kern w:val="2"/>
          <w:sz w:val="32"/>
          <w:szCs w:val="32"/>
          <w:highlight w:val="none"/>
          <w:lang w:val="en-US" w:eastAsia="zh-CN" w:bidi="ar"/>
          <w14:textFill>
            <w14:solidFill>
              <w14:schemeClr w14:val="tx1"/>
            </w14:solidFill>
          </w14:textFill>
          <w:woUserID w:val="3"/>
        </w:rPr>
        <w:t>健全新型农业经营主体辅导员队伍，提供政策咨询、财务规范、市场拓展等指导服务</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3"/>
        </w:rPr>
        <w:t>。培育壮大各类专业化、市场化服务组织，重点发展病虫害防治、农机作业、粮食烘干、仓储物流等生产性服务业。</w:t>
      </w:r>
      <w:r>
        <w:rPr>
          <w:rFonts w:hint="eastAsia" w:ascii="仿宋" w:hAnsi="仿宋" w:eastAsia="仿宋" w:cs="仿宋"/>
          <w:b w:val="0"/>
          <w:bCs w:val="0"/>
          <w:color w:val="000000" w:themeColor="text1"/>
          <w:kern w:val="2"/>
          <w:sz w:val="32"/>
          <w:szCs w:val="32"/>
          <w:highlight w:val="none"/>
          <w:u w:val="none"/>
          <w:lang w:val="en-US" w:eastAsia="zh-CN" w:bidi="ar"/>
          <w14:textFill>
            <w14:solidFill>
              <w14:schemeClr w14:val="tx1"/>
            </w14:solidFill>
          </w14:textFill>
          <w:woUserID w:val="3"/>
        </w:rPr>
        <w:t>深化与俄罗斯远东地区农业种植、农产品加工、畜牧养殖、冷链物流等领域合作，构建内外联动、双向互济的农业对外开放新格局。</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521E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4"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34CBE12A">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0" w:firstLineChars="200"/>
              <w:jc w:val="cente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专栏</w:t>
            </w:r>
            <w:r>
              <w:rPr>
                <w:rFonts w:hint="eastAsia" w:eastAsia="微软雅黑" w:cs="Times New Roman"/>
                <w:color w:val="000000" w:themeColor="text1"/>
                <w:kern w:val="2"/>
                <w:sz w:val="24"/>
                <w:szCs w:val="24"/>
                <w:highlight w:val="none"/>
                <w:lang w:val="en-US" w:eastAsia="zh-CN" w:bidi="ar"/>
                <w14:textFill>
                  <w14:solidFill>
                    <w14:schemeClr w14:val="tx1"/>
                  </w14:solidFill>
                </w14:textFill>
                <w:woUserID w:val="3"/>
              </w:rPr>
              <w:t>3</w:t>
            </w: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-2   农业</w:t>
            </w:r>
            <w:r>
              <w:rPr>
                <w:rFonts w:hint="default" w:ascii="Times New Roman" w:hAnsi="Times New Roman" w:eastAsia="微软雅黑" w:cs="Times New Roman"/>
                <w:color w:val="000000" w:themeColor="text1"/>
                <w:kern w:val="2"/>
                <w:sz w:val="24"/>
                <w:szCs w:val="24"/>
                <w:highlight w:val="none"/>
                <w:lang w:val="en-US" w:eastAsia="zh" w:bidi="ar"/>
                <w14:textFill>
                  <w14:solidFill>
                    <w14:schemeClr w14:val="tx1"/>
                  </w14:solidFill>
                </w14:textFill>
                <w:woUserID w:val="3"/>
              </w:rPr>
              <w:t>产业现代化重大</w:t>
            </w: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工程</w:t>
            </w:r>
          </w:p>
        </w:tc>
      </w:tr>
      <w:tr w14:paraId="1A52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2A1FB8E1">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1.种业振兴。</w:t>
            </w:r>
            <w:r>
              <w:rPr>
                <w:rFonts w:hint="default" w:ascii="Times New Roman" w:hAnsi="Times New Roman" w:cs="Times New Roman"/>
                <w:b w:val="0"/>
                <w:bCs w:val="0"/>
                <w:color w:val="000000" w:themeColor="text1"/>
                <w:kern w:val="2"/>
                <w:sz w:val="24"/>
                <w:szCs w:val="24"/>
                <w:highlight w:val="none"/>
                <w:lang w:val="en-US" w:eastAsia="zh" w:bidi="ar"/>
                <w14:textFill>
                  <w14:solidFill>
                    <w14:schemeClr w14:val="tx1"/>
                  </w14:solidFill>
                </w14:textFill>
                <w:woUserID w:val="3"/>
              </w:rPr>
              <w:t>持续强化特色种业发展，做大做强农业发展“芯片”，</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3"/>
              </w:rPr>
              <w:t>重点实施黑龙江省普田种业集团有限公司种子育繁推一体化、创种科技有限公司原种生产加工基地、国家粳稻工程育种研究中心黑龙江分中心、东风区北方寒地粳稻公共科研平台等项目。</w:t>
            </w:r>
          </w:p>
          <w:p w14:paraId="131C7795">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b w:val="0"/>
                <w:bCs w:val="0"/>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2.智慧农业。</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t>通过集成物联网、大数据与人工智能等前沿技术，实现农业生产的精准化决策与智能化管理。打造集电商孵化、品牌推广、智能仓储与冷链物流于一体的现代化农产品流通枢纽，打通从田间到餐桌的数字化供应链，推动传统农业向智慧化、绿色化、高值化的现代农业体系转型升级。重点谋划实施东风区水稻无人化智慧农场建设项目、东风区北方寒地粳稻公共科研平台项目、佳木斯东风区农产品电商产业园建设项目、农业数字化管理系统有机蔬菜产供销一体化项目等。</w:t>
            </w:r>
          </w:p>
          <w:p w14:paraId="38FEBB6B">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3.绿色生态循环农业。</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t>推广“秸秆-饲料-养殖-粪肥-还田”等循环模式，支持畜禽粪污、城市有机废弃物无害化处理与资源化利用，发展秸秆基新材料和生物质能源，构建绿色低碳的农业产业链。重点实施零碳社区一体化产业创新项目、粪便无害化处理项目、秸秆生物质燃料产业链项目、</w:t>
            </w:r>
            <w:r>
              <w:rPr>
                <w:rFonts w:hint="eastAsia" w:cs="Times New Roman"/>
                <w:b w:val="0"/>
                <w:bCs w:val="0"/>
                <w:color w:val="000000" w:themeColor="text1"/>
                <w:kern w:val="2"/>
                <w:sz w:val="24"/>
                <w:szCs w:val="24"/>
                <w:highlight w:val="none"/>
                <w:lang w:val="en-US" w:eastAsia="zh-CN" w:bidi="ar"/>
                <w14:textFill>
                  <w14:solidFill>
                    <w14:schemeClr w14:val="tx1"/>
                  </w14:solidFill>
                </w14:textFill>
                <w:woUserID w:val="3"/>
              </w:rPr>
              <w:t>秸秆</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t>板材加工项目等。</w:t>
            </w:r>
          </w:p>
          <w:p w14:paraId="639C0110">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b w:val="0"/>
                <w:bCs w:val="0"/>
                <w:color w:val="000000" w:themeColor="text1"/>
                <w:kern w:val="2"/>
                <w:sz w:val="24"/>
                <w:szCs w:val="24"/>
                <w:highlight w:val="none"/>
                <w:lang w:val="en-US" w:eastAsia="zh" w:bidi="ar"/>
                <w14:textFill>
                  <w14:solidFill>
                    <w14:schemeClr w14:val="tx1"/>
                  </w14:solidFill>
                </w14:textFill>
                <w:woUserID w:val="3"/>
              </w:rPr>
            </w:pPr>
            <w:r>
              <w:rPr>
                <w:rFonts w:hint="default" w:ascii="Times New Roman" w:hAnsi="Times New Roman" w:eastAsia="仿宋_GB2312" w:cs="Times New Roman"/>
                <w:b/>
                <w:bCs/>
                <w:color w:val="000000" w:themeColor="text1"/>
                <w:kern w:val="2"/>
                <w:sz w:val="24"/>
                <w:szCs w:val="24"/>
                <w:highlight w:val="none"/>
                <w:lang w:val="en-US" w:eastAsia="zh" w:bidi="ar"/>
                <w14:textFill>
                  <w14:solidFill>
                    <w14:schemeClr w14:val="tx1"/>
                  </w14:solidFill>
                </w14:textFill>
                <w:woUserID w:val="3"/>
              </w:rPr>
              <w:t>4.农业社会化服务平台。</w:t>
            </w:r>
            <w:r>
              <w:rPr>
                <w:rFonts w:hint="default" w:ascii="Times New Roman" w:hAnsi="Times New Roman" w:eastAsia="仿宋_GB2312" w:cs="Times New Roman"/>
                <w:b w:val="0"/>
                <w:bCs w:val="0"/>
                <w:color w:val="000000" w:themeColor="text1"/>
                <w:kern w:val="2"/>
                <w:sz w:val="24"/>
                <w:szCs w:val="24"/>
                <w:highlight w:val="none"/>
                <w:lang w:val="en-US" w:eastAsia="zh" w:bidi="ar"/>
                <w14:textFill>
                  <w14:solidFill>
                    <w14:schemeClr w14:val="tx1"/>
                  </w14:solidFill>
                </w14:textFill>
                <w:woUserID w:val="3"/>
              </w:rPr>
              <w:t>整合服务资源，搭建覆盖农资供应、农机作业、烘干仓储、市场信息、产品营销等环节的综合服务平台，重点发展面向农户的生产托管服务和面向市场的数字化营销体系。重点实施佳木斯东风区农产品电商产业园建设项目。</w:t>
            </w:r>
          </w:p>
        </w:tc>
      </w:tr>
    </w:tbl>
    <w:p w14:paraId="6A94B902">
      <w:pPr>
        <w:pStyle w:val="3"/>
        <w:keepNext w:val="0"/>
        <w:keepLines w:val="0"/>
        <w:pageBreakBefore w:val="0"/>
        <w:widowControl w:val="0"/>
        <w:suppressLineNumbers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14:textFill>
            <w14:solidFill>
              <w14:schemeClr w14:val="tx1"/>
            </w14:solidFill>
          </w14:textFill>
          <w:woUserID w:val="3"/>
        </w:rPr>
      </w:pPr>
      <w:bookmarkStart w:id="18" w:name="_Toc25432"/>
      <w:r>
        <w:rPr>
          <w:rFonts w:hint="eastAsia" w:ascii="楷体" w:hAnsi="楷体" w:eastAsia="楷体" w:cs="楷体"/>
          <w:b/>
          <w:bCs w:val="0"/>
          <w:color w:val="000000" w:themeColor="text1"/>
          <w:kern w:val="2"/>
          <w:sz w:val="32"/>
          <w:szCs w:val="32"/>
          <w:highlight w:val="none"/>
          <w14:textFill>
            <w14:solidFill>
              <w14:schemeClr w14:val="tx1"/>
            </w14:solidFill>
          </w14:textFill>
          <w:woUserID w:val="3"/>
        </w:rPr>
        <w:t>第</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3"/>
        </w:rPr>
        <w:t>十</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3"/>
        </w:rPr>
        <w:t>章</w:t>
      </w:r>
      <w:r>
        <w:rPr>
          <w:rFonts w:hint="eastAsia" w:ascii="楷体" w:hAnsi="楷体" w:eastAsia="楷体" w:cs="楷体"/>
          <w:b/>
          <w:bCs w:val="0"/>
          <w:color w:val="000000" w:themeColor="text1"/>
          <w:kern w:val="2"/>
          <w:sz w:val="32"/>
          <w:szCs w:val="32"/>
          <w:highlight w:val="none"/>
          <w14:textFill>
            <w14:solidFill>
              <w14:schemeClr w14:val="tx1"/>
            </w14:solidFill>
          </w14:textFill>
          <w:woUserID w:val="3"/>
        </w:rPr>
        <w:t xml:space="preserve"> 构建多元化食物供给体系</w:t>
      </w:r>
      <w:bookmarkEnd w:id="18"/>
    </w:p>
    <w:p w14:paraId="2188A5DE">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践行“大食物观”，全方位、多途径开发食物资源</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推动一二三产业深度融合，延伸产业链、提升价值链、打造供应链，培育一批具有竞争力的食</w:t>
      </w:r>
      <w:r>
        <w:rPr>
          <w:rFonts w:hint="eastAsia" w:ascii="仿宋" w:hAnsi="仿宋" w:eastAsia="仿宋" w:cs="仿宋"/>
          <w:color w:val="000000" w:themeColor="text1"/>
          <w:lang w:val="en-US" w:eastAsia="zh-CN"/>
          <w14:textFill>
            <w14:solidFill>
              <w14:schemeClr w14:val="tx1"/>
            </w14:solidFill>
          </w14:textFill>
        </w:rPr>
        <w:t>品</w:t>
      </w:r>
      <w:r>
        <w:rPr>
          <w:rFonts w:hint="eastAsia" w:ascii="仿宋" w:hAnsi="仿宋" w:eastAsia="仿宋" w:cs="仿宋"/>
          <w:color w:val="000000" w:themeColor="text1"/>
          <w14:textFill>
            <w14:solidFill>
              <w14:schemeClr w14:val="tx1"/>
            </w14:solidFill>
          </w14:textFill>
        </w:rPr>
        <w:t>产业与知名品牌</w:t>
      </w:r>
      <w:r>
        <w:rPr>
          <w:rFonts w:hint="eastAsia" w:ascii="仿宋" w:hAnsi="仿宋" w:eastAsia="仿宋" w:cs="仿宋"/>
          <w:color w:val="000000" w:themeColor="text1"/>
          <w:lang w:eastAsia="zh-CN"/>
          <w14:textFill>
            <w14:solidFill>
              <w14:schemeClr w14:val="tx1"/>
            </w14:solidFill>
          </w14:textFill>
        </w:rPr>
        <w:t>。</w:t>
      </w:r>
    </w:p>
    <w:p w14:paraId="72D78ED0">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第一节 大力发展现代畜牧业。</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3"/>
        </w:rPr>
        <w:t>做强生猪全产业链发展，</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坚持“稳产能、优结构、提效益”，大力发展规模化、标准化生猪养殖，推广应用数字化环控、精准饲喂等智能化配套设施，稳定生猪基础产能，打造全市生猪调运区。大力引进培育现代化屠宰加工企业，推动屠宰加工向冷却分割、精深加工延伸，优化发展冷却肉、精细分割肉和各类低温熟肉制品、预制菜肴等高附加值产品系列。探索特色畜牧发展路径，结合市场需求与承载能力，因地制宜发展肉牛、禽类等养殖。鼓励利用农作物秸秆等资源发展节粮型畜牧业，推广“种养结合”生态循环模式。支持发展林下养殖等特色养殖项目，丰富肉类供给来源。</w:t>
      </w:r>
    </w:p>
    <w:p w14:paraId="43B3B268">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第二节 打造高附加值蜂产品产业链。</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依托区内及周边蜂产业资源，规划建设集种蜂育种和收储、加工、研发、检测于一体的蜂产品精深加工基地。积极引进开发蜂胶超临界萃取、蜂王浆冻干粉、蜂毒分离提纯等先进加工技术，提升原料利用效率和产品科技含量。以市场需求为导向，重点开发蜂花粉、蜂胶软胶囊、蜂王浆口服液、蜂巢素等保健食品和生物制品。加强与科研院所合作，开展蜂产品功能成分研究与新产品创制，推动蜂产品从原料销售向健康产品制造升级。建立从养蜂场到加工厂的可追溯质量管理体系，打造优质蜂产品区域品牌。</w:t>
      </w:r>
    </w:p>
    <w:p w14:paraId="5F94AF4E">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第三节 推动农产品精深加工业高质量发展。</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紧紧围绕“粮头食尾”“畜头肉尾”“农头工尾”，加快推动稻米加工向米糠油、米蛋白、米淀粉糖等高附加值产品延伸，引导生猪屠宰向骨血、脏器综合利用及生物医药原料提取拓展，促进大豆、玉米等初加工产品向植物蛋白、膳食纤维、发酵制品等升级。合理布局农产品初加工网点，集中资源支持建设一批农产品精深加工重点项目，提高加工深度和精度。强化稻壳、豆渣等加工副产物的循环利用、全值利用和梯次利用，提升产业整体效益。实施农产品加工企业梯度培育计划，重点扶持一批产业链条长、科技含量高、品牌影响力强的领军型龙头企业，加快培育一批“专精特新”中小型加工企业，形成大中小企业协同发展的产业集群生态。强化与原料基地、仓储保鲜、冷链物流、市场营销等环节的有机衔接，构建完整高效的农产品加工产业闭环。</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0982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4"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3209D53D">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0" w:firstLineChars="200"/>
              <w:jc w:val="cente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专栏</w:t>
            </w:r>
            <w:r>
              <w:rPr>
                <w:rFonts w:hint="eastAsia" w:eastAsia="微软雅黑" w:cs="Times New Roman"/>
                <w:color w:val="000000" w:themeColor="text1"/>
                <w:kern w:val="2"/>
                <w:sz w:val="24"/>
                <w:szCs w:val="24"/>
                <w:highlight w:val="none"/>
                <w:lang w:val="en-US" w:eastAsia="zh-CN" w:bidi="ar"/>
                <w14:textFill>
                  <w14:solidFill>
                    <w14:schemeClr w14:val="tx1"/>
                  </w14:solidFill>
                </w14:textFill>
                <w:woUserID w:val="3"/>
              </w:rPr>
              <w:t>3</w:t>
            </w: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 xml:space="preserve">-3  </w:t>
            </w:r>
            <w:r>
              <w:rPr>
                <w:rFonts w:hint="default" w:ascii="Times New Roman" w:hAnsi="Times New Roman" w:eastAsia="微软雅黑" w:cs="Times New Roman"/>
                <w:color w:val="000000" w:themeColor="text1"/>
                <w:kern w:val="2"/>
                <w:sz w:val="24"/>
                <w:szCs w:val="24"/>
                <w:highlight w:val="none"/>
                <w:lang w:val="en-US" w:eastAsia="zh" w:bidi="ar"/>
                <w14:textFill>
                  <w14:solidFill>
                    <w14:schemeClr w14:val="tx1"/>
                  </w14:solidFill>
                </w14:textFill>
                <w:woUserID w:val="3"/>
              </w:rPr>
              <w:t>特色农产品精深加工重大</w:t>
            </w: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工程</w:t>
            </w:r>
          </w:p>
        </w:tc>
      </w:tr>
      <w:tr w14:paraId="0D02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110B24CD">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b/>
                <w:bCs/>
                <w:color w:val="000000" w:themeColor="text1"/>
                <w:kern w:val="2"/>
                <w:sz w:val="24"/>
                <w:szCs w:val="24"/>
                <w:highlight w:val="none"/>
                <w:lang w:val="en-US" w:eastAsia="zh" w:bidi="ar"/>
                <w14:textFill>
                  <w14:solidFill>
                    <w14:schemeClr w14:val="tx1"/>
                  </w14:solidFill>
                </w14:textFill>
                <w:woUserID w:val="3"/>
              </w:rPr>
              <w:t>1</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.畜牧业及特色养殖。</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t>优化畜牧业结构，支持标准化、规模化肉牛养殖基地建设，配套发展半成品加工，提升肉类供给质量和附加值。重点实施佳木斯市东风区肉牛养殖基地项目、佳木斯市东风区肉牛半成品加工项目。</w:t>
            </w:r>
          </w:p>
          <w:p w14:paraId="4BE80F82">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b w:val="0"/>
                <w:bCs w:val="0"/>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b/>
                <w:bCs/>
                <w:color w:val="000000" w:themeColor="text1"/>
                <w:kern w:val="2"/>
                <w:sz w:val="24"/>
                <w:szCs w:val="24"/>
                <w:highlight w:val="none"/>
                <w:lang w:val="en-US" w:eastAsia="zh" w:bidi="ar"/>
                <w14:textFill>
                  <w14:solidFill>
                    <w14:schemeClr w14:val="tx1"/>
                  </w14:solidFill>
                </w14:textFill>
                <w:woUserID w:val="3"/>
              </w:rPr>
              <w:t>2</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.蜂产品精深加工。</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t>整合区域蜂业资源，建设覆盖蜂蜜、蜂王浆、蜂胶等全品类的精深加工产业园，引入先进萃取与提纯技术，开发高附加值健康产品，塑造区域蜂业品牌。重点实施黑龙江北纬47°现代黑蜂产业园项目、蜂蜜精深加工项目。</w:t>
            </w:r>
          </w:p>
          <w:p w14:paraId="4FD1801D">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b/>
                <w:bCs/>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b/>
                <w:bCs/>
                <w:color w:val="000000" w:themeColor="text1"/>
                <w:kern w:val="2"/>
                <w:sz w:val="24"/>
                <w:szCs w:val="24"/>
                <w:highlight w:val="none"/>
                <w:lang w:val="en-US" w:eastAsia="zh" w:bidi="ar"/>
                <w14:textFill>
                  <w14:solidFill>
                    <w14:schemeClr w14:val="tx1"/>
                  </w14:solidFill>
                </w14:textFill>
                <w:woUserID w:val="3"/>
              </w:rPr>
              <w:t>3</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.农产品精深加工。</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t>聚焦主粮、杂粮、果蔬、水产等优势品类，引进先进工艺和生产线，大力发展蛋白肽、发酵制品、休闲食品、功能饮品等高附加值产品，推动农产品加工向大健康、生物经济领域拓展。重点实施玉米深加工项目、佳木斯东风区年产2000吨玉米蛋白肽项目、大豆肽粉生产项目、佳木斯东风区马铃薯深加工建设项目、佳木斯市东风区粘玉米冷冻蔬菜深加工项目、佳木斯市东风区年产1万吨果酒果醋加工项目、生物饲料加工项目、佳木斯东风区鲟鱼营养保健功能深加工建设项目、年产15万吨鱼肉制品加工项目、驴骨胶原蛋白肽生产项目、大豆食品产业园建设项目、年产15万吨木醋液有机肥项目。</w:t>
            </w:r>
          </w:p>
        </w:tc>
      </w:tr>
    </w:tbl>
    <w:p w14:paraId="213E4D8C">
      <w:pPr>
        <w:pStyle w:val="3"/>
        <w:keepNext w:val="0"/>
        <w:keepLines w:val="0"/>
        <w:pageBreakBefore w:val="0"/>
        <w:widowControl w:val="0"/>
        <w:suppressLineNumbers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14:textFill>
            <w14:solidFill>
              <w14:schemeClr w14:val="tx1"/>
            </w14:solidFill>
          </w14:textFill>
          <w:woUserID w:val="3"/>
        </w:rPr>
      </w:pPr>
      <w:bookmarkStart w:id="19" w:name="_Toc16198"/>
      <w:r>
        <w:rPr>
          <w:rFonts w:hint="eastAsia" w:ascii="楷体" w:hAnsi="楷体" w:eastAsia="楷体" w:cs="楷体"/>
          <w:b/>
          <w:bCs w:val="0"/>
          <w:color w:val="000000" w:themeColor="text1"/>
          <w:kern w:val="2"/>
          <w:sz w:val="32"/>
          <w:szCs w:val="32"/>
          <w:highlight w:val="none"/>
          <w14:textFill>
            <w14:solidFill>
              <w14:schemeClr w14:val="tx1"/>
            </w14:solidFill>
          </w14:textFill>
          <w:woUserID w:val="3"/>
        </w:rPr>
        <w:t>第</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3"/>
        </w:rPr>
        <w:t>十</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3"/>
        </w:rPr>
        <w:t>一</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3"/>
        </w:rPr>
        <w:t>章</w:t>
      </w:r>
      <w:r>
        <w:rPr>
          <w:rFonts w:hint="eastAsia" w:ascii="楷体" w:hAnsi="楷体" w:eastAsia="楷体" w:cs="楷体"/>
          <w:b/>
          <w:bCs w:val="0"/>
          <w:color w:val="000000" w:themeColor="text1"/>
          <w:kern w:val="2"/>
          <w:sz w:val="32"/>
          <w:szCs w:val="32"/>
          <w:highlight w:val="none"/>
          <w14:textFill>
            <w14:solidFill>
              <w14:schemeClr w14:val="tx1"/>
            </w14:solidFill>
          </w14:textFill>
          <w:woUserID w:val="3"/>
        </w:rPr>
        <w:t xml:space="preserve"> 建设宜居宜业和美乡村</w:t>
      </w:r>
      <w:bookmarkEnd w:id="19"/>
    </w:p>
    <w:p w14:paraId="67D6D93D">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深入学习运用“千万工程”经验，立足实际健全乡村建设机制</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围绕提升基础设施完备度、公共服务便利度和人居环境舒适度精准发力，稳步推动农村基本具备现代生活条件。</w:t>
      </w:r>
    </w:p>
    <w:p w14:paraId="5D3FF498">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第一节 优化村镇布局。</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强化规划引领，科学编制和完善村庄规划，持续优化村镇体系布局，引导公共资源、基础设施向中心村、特色产业村合理倾斜。强化规划刚性约束，确保乡村建设有序推进。推动农村道路、供水、供电、通信、物流等基础设施统一规划、协同建设。实施老旧路提质改造，完善安防设施，健全长效管养机制。改造提升农村自来水供水管网，稳定供水保障率和污水收集处理能力。加强农房建设设计服务和风貌引导，推广适用、经济、美观的农房设计图集，保护乡村独特风貌和地域特色，提升农房建设品质与风貌。</w:t>
      </w:r>
    </w:p>
    <w:p w14:paraId="2DC89212">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第二节 持续改善农村人居环境。</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3"/>
        </w:rPr>
        <w:t>学习运用“千万工程”经验，健全建、管、用并重的长效管护机制，扎实推进农村生活垃圾和污水治理，优化提升农村人居环境。</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坚持因地制宜、质量优先、建管并重，扎实推进农村“厕所革命”，探索适宜北方寒地改厕模式，稳妥推进“农民自建、先建后补、市场化运维”改厕机制，提升农村改厕管护水平。分类推进农村生活污水治理，加强改厕和生活污水治理统筹衔接，消除黑臭水体。完善农村生活垃圾治理，积极对接国家和省级农村生活垃圾分类与资源化利用示范创建标准与政策，在东风区选取基础条件好的乡镇、村屯开展示范创建活动。健全“户分类、村收集、乡（镇）转运、区处理”的生活垃圾收运处置体系，推广符合农村特点的简易分类方法，探索就地资源化利用路径，有效解决“垃圾围村”问题。</w:t>
      </w:r>
    </w:p>
    <w:p w14:paraId="27A8D2C5">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第三节 提升乡村治理效能。</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3"/>
        </w:rPr>
        <w:t>强化党建引领核心作用，健全党组织领导下的自治、法治、德治相结合的乡村治理体系。</w:t>
      </w:r>
      <w:r>
        <w:rPr>
          <w:rFonts w:hint="eastAsia" w:ascii="仿宋" w:hAnsi="仿宋" w:eastAsia="仿宋" w:cs="仿宋"/>
          <w:b w:val="0"/>
          <w:bCs w:val="0"/>
          <w:color w:val="000000" w:themeColor="text1"/>
          <w:kern w:val="2"/>
          <w:sz w:val="32"/>
          <w:szCs w:val="32"/>
          <w:highlight w:val="none"/>
          <w:u w:val="none"/>
          <w:lang w:val="en-US" w:eastAsia="zh-CN" w:bidi="ar"/>
          <w14:textFill>
            <w14:solidFill>
              <w14:schemeClr w14:val="tx1"/>
            </w14:solidFill>
          </w14:textFill>
          <w:woUserID w:val="3"/>
        </w:rPr>
        <w:t>加强村级组织带头人队伍建设，推行村级党组织书记、村委会主任“一肩挑”，持续强化村干部管理监督，派强用好驻村第一书记。推动治理和服务重心下移，推动“四微联动”治理模式向农村延伸覆盖，构建起全域覆盖、反应灵敏、精准高效的乡村治理新格局。推进更高水平的平安法治乡村建设，着重把村（社区）“两委”成员培养成“法律明白人”，完善社会矛盾纠纷多元预防调处化解机制，常态化推进农村地区扫黑除恶工作，加强“全国民主法治示范村（社区）”创建。加强农村精神文明建设，充分发挥“一约四会”作用，加强党员干部带头垂范，推进农村移风易俗，有效防范治理封建迷信、厚葬薄养、铺张浪费、大操大办等不良风气，广泛开展文明村镇、文明家庭、星级文明户评选。深化拓展新时代文明实践中心建设，大力推广积分制、清单制等有效治理方式，培育文明乡风、良好家风、淳朴民风。</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探索推动“互联网+政务服务”向乡村延伸，提高村级事务管理智慧化水平。</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7115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4"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28B019E5">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0" w:firstLineChars="200"/>
              <w:jc w:val="cente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3"/>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专栏</w:t>
            </w:r>
            <w:r>
              <w:rPr>
                <w:rFonts w:hint="eastAsia" w:eastAsia="微软雅黑" w:cs="Times New Roman"/>
                <w:color w:val="000000" w:themeColor="text1"/>
                <w:kern w:val="2"/>
                <w:sz w:val="24"/>
                <w:szCs w:val="24"/>
                <w:highlight w:val="none"/>
                <w:lang w:val="en-US" w:eastAsia="zh-CN" w:bidi="ar"/>
                <w14:textFill>
                  <w14:solidFill>
                    <w14:schemeClr w14:val="tx1"/>
                  </w14:solidFill>
                </w14:textFill>
                <w:woUserID w:val="3"/>
              </w:rPr>
              <w:t>3</w:t>
            </w: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3"/>
              </w:rPr>
              <w:t>-4   美丽乡村建设工程</w:t>
            </w:r>
          </w:p>
        </w:tc>
      </w:tr>
      <w:tr w14:paraId="2F36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684662B1">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b w:val="0"/>
                <w:bCs w:val="0"/>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1.农村基础设施提升。</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t>以“四好农村路”建设和城乡供水一体化为重点，全面推进农村道路硬化、提质改造和安全生命防护工程建设，加快实施农村供水保障工程，切实改善农民生产生活条件。重点实施佳木斯市东风区农村供水工程、佳木斯市东风区联合村至模范村农村公路提质改造建设项目、佳木斯市东风区</w:t>
            </w:r>
            <w:r>
              <w:rPr>
                <w:rFonts w:hint="eastAsia" w:cs="Times New Roman"/>
                <w:b w:val="0"/>
                <w:bCs w:val="0"/>
                <w:color w:val="000000" w:themeColor="text1"/>
                <w:kern w:val="2"/>
                <w:sz w:val="24"/>
                <w:szCs w:val="24"/>
                <w:highlight w:val="none"/>
                <w:lang w:val="en-US" w:eastAsia="zh-CN" w:bidi="ar"/>
                <w14:textFill>
                  <w14:solidFill>
                    <w14:schemeClr w14:val="tx1"/>
                  </w14:solidFill>
                </w14:textFill>
                <w:woUserID w:val="3"/>
              </w:rPr>
              <w:t>红</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t>力村至恒心村农村公路提质改造建设项目、佳木斯市东风区同哈公路至松江乡农村公路提质改造建设项目、佳木斯市东风区西太平村至新民村农村公路提质改造建设项目。</w:t>
            </w:r>
          </w:p>
          <w:p w14:paraId="700ADB75">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b/>
                <w:bCs/>
                <w:color w:val="000000" w:themeColor="text1"/>
                <w:kern w:val="2"/>
                <w:sz w:val="24"/>
                <w:szCs w:val="24"/>
                <w:highlight w:val="none"/>
                <w14:textFill>
                  <w14:solidFill>
                    <w14:schemeClr w14:val="tx1"/>
                  </w14:solidFill>
                </w14:textFill>
                <w:woUserID w:val="3"/>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3"/>
              </w:rPr>
              <w:t>2.乡村产业培育壮大。</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3"/>
              </w:rPr>
              <w:t>依托特色农业、滨水资源和乡土文化，规划建设一批主题鲜明、业态丰富的农文旅融合项目，将农业生产过程、乡村风貌和民俗文化转化为可体验、可消费的旅游产品，拓宽农民增收渠道。重点实施田园综合体建设项目、黑龙江省佳木斯市东风区农耕文化公园项目、草坪休闲旅游主题基地项目、佳木斯市东风区水培花卉栽培体验园建设项目。</w:t>
            </w:r>
          </w:p>
        </w:tc>
      </w:tr>
    </w:tbl>
    <w:p w14:paraId="4B160798">
      <w:pPr>
        <w:pStyle w:val="3"/>
        <w:keepNext w:val="0"/>
        <w:keepLines w:val="0"/>
        <w:pageBreakBefore w:val="0"/>
        <w:widowControl w:val="0"/>
        <w:suppressLineNumbers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14:textFill>
            <w14:solidFill>
              <w14:schemeClr w14:val="tx1"/>
            </w14:solidFill>
          </w14:textFill>
          <w:woUserID w:val="3"/>
        </w:rPr>
      </w:pPr>
      <w:bookmarkStart w:id="20" w:name="_Toc23814"/>
      <w:r>
        <w:rPr>
          <w:rFonts w:hint="eastAsia" w:ascii="楷体" w:hAnsi="楷体" w:eastAsia="楷体" w:cs="楷体"/>
          <w:b/>
          <w:bCs w:val="0"/>
          <w:color w:val="000000" w:themeColor="text1"/>
          <w:kern w:val="2"/>
          <w:sz w:val="32"/>
          <w:szCs w:val="32"/>
          <w:highlight w:val="none"/>
          <w14:textFill>
            <w14:solidFill>
              <w14:schemeClr w14:val="tx1"/>
            </w14:solidFill>
          </w14:textFill>
          <w:woUserID w:val="3"/>
        </w:rPr>
        <w:t>第</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3"/>
        </w:rPr>
        <w:t>十二章</w:t>
      </w:r>
      <w:r>
        <w:rPr>
          <w:rFonts w:hint="eastAsia" w:ascii="楷体" w:hAnsi="楷体" w:eastAsia="楷体" w:cs="楷体"/>
          <w:b/>
          <w:bCs w:val="0"/>
          <w:color w:val="000000" w:themeColor="text1"/>
          <w:kern w:val="2"/>
          <w:sz w:val="32"/>
          <w:szCs w:val="32"/>
          <w:highlight w:val="none"/>
          <w14:textFill>
            <w14:solidFill>
              <w14:schemeClr w14:val="tx1"/>
            </w14:solidFill>
          </w14:textFill>
          <w:woUserID w:val="3"/>
        </w:rPr>
        <w:t xml:space="preserve"> 提高强农惠农富农政策效能</w:t>
      </w:r>
      <w:bookmarkEnd w:id="20"/>
    </w:p>
    <w:p w14:paraId="5C5EC513">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聚焦精准落地与动态优化，推动强农惠农富农政策从“有感”到“有效”，实现政策红利直达主体、效能全面释放，筑牢乡村振兴制度支撑。</w:t>
      </w:r>
    </w:p>
    <w:p w14:paraId="4922DAB8">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第一节 拓宽农民增收致富渠道。</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3"/>
        </w:rPr>
        <w:t>健全农民经营性收入增长机制，强化价格、补贴、保险等政策支持和协同。完善联农带农机制，引导龙头企业与农民共建农业产业化联合体，实行统一标准、统一服务、统一生产、统一加工、统一销售，让农民更多分享农业产业发展增值收益，</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推动小农户深度融入现代农业体系。健全农村产权交易体系，规范土地经营权、集体资产股权等流转交易，激活农村资源要素活力。围绕本地种业、农产品加工、乡村旅游、电商物流等产业需求，开展“订单式”“定向式”职业技能培训，加快培育一批有文化、懂技术、善经营、会管理的高素质农民。鼓励区内制造业企业、农业龙头企业和重大工程项目优先吸纳本地农民就近就业。大力发展乡村特色产业、劳动密集型产业，积极扶持庭院经济、乡村手工业，不断拓展“家门口”的就业岗位，让农民在家门口就能增收致富。统筹建立常态化防止返贫致贫机制，强化精准化帮扶、开发式帮扶，提高兜底保障水平，构建农村低收入人口分层分类帮扶制度，健全帮扶和扶贫项目资产长效管理机制，守住不发生规模性返贫致贫底线。</w:t>
      </w:r>
    </w:p>
    <w:p w14:paraId="3D34E75F">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第二节 壮大新型农村集体经济。</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3"/>
        </w:rPr>
        <w:t>探索新型农村集体经济发展实现形式，有效盘活农村集体资金资产资源，不断激发农村资源要素活力。</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稳妥推进农村集体经营性建设用地入市，允许农民通过入股、租赁、合作等方式盘活闲置宅基地和农房。鼓励农村集体经济组织依托村社组织资源，以土地流转、土地托管等方式，向小农户提供农业生产性服务或承接政府公益类服务项目。推动农村集体经济组织现代法人化治理，健全农村集体财产管理具体办法，持续深化农村集体资金、资产和资源管理突出问题等专项整治，严控集体经营风险和债务，构建集体经济组织成员民主监督、纪委监督、第三方审计、新闻舆论监督等多方监督制度，保障农村集体经济组织成员集体收益分配权。</w:t>
      </w:r>
    </w:p>
    <w:p w14:paraId="107C9AA5">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第三节 深化农村重点领域改革。</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稳定推进第二轮土地承包到期后再延长三十年试点，如期完成土地延包工作，确保农户承包权稳定、经营权有序流转。完善农村承包地“三权分置”制度，健全区、乡（镇）两级农村土地经营权流转服务体系，提供信息发布、政策咨询、合同签订指导、流转备案、纠纷调解等“一站式”服务。建立健全流转风险防范机制，探索建立土地经营权流转履约保证保险制度。引导土地经营权向种田能手、家庭农场、农民合作社、农业企业等新型农业经营主体规范流转，发展多种形式的适度规模经营。鼓励流转期限与农业生产周期相适应，稳定经营主体长期经营预期。</w:t>
      </w:r>
    </w:p>
    <w:p w14:paraId="5D39DC75">
      <w:pPr>
        <w:pStyle w:val="2"/>
        <w:keepNext w:val="0"/>
        <w:keepLines w:val="0"/>
        <w:pageBreakBefore w:val="0"/>
        <w:widowControl w:val="0"/>
        <w:kinsoku/>
        <w:wordWrap/>
        <w:overflowPunct w:val="0"/>
        <w:topLinePunct w:val="0"/>
        <w:autoSpaceDE/>
        <w:autoSpaceDN/>
        <w:bidi w:val="0"/>
        <w:adjustRightInd/>
        <w:snapToGrid w:val="0"/>
        <w:spacing w:beforeAutospacing="0" w:afterAutospacing="0" w:line="600" w:lineRule="exact"/>
        <w:jc w:val="center"/>
        <w:textAlignment w:val="auto"/>
        <w:rPr>
          <w:rFonts w:hint="default" w:ascii="Times New Roman" w:hAnsi="Times New Roman" w:cs="Times New Roman"/>
          <w:color w:val="000000" w:themeColor="text1"/>
          <w:highlight w:val="none"/>
          <w14:textFill>
            <w14:solidFill>
              <w14:schemeClr w14:val="tx1"/>
            </w14:solidFill>
          </w14:textFill>
        </w:rPr>
      </w:pPr>
      <w:bookmarkStart w:id="21" w:name="_Toc31324"/>
      <w:r>
        <w:rPr>
          <w:rFonts w:hint="default" w:ascii="Times New Roman" w:hAnsi="Times New Roman" w:cs="Times New Roman"/>
          <w:color w:val="000000" w:themeColor="text1"/>
          <w:highlight w:val="none"/>
          <w:lang w:eastAsia="zh"/>
          <w14:textFill>
            <w14:solidFill>
              <w14:schemeClr w14:val="tx1"/>
            </w14:solidFill>
          </w14:textFill>
          <w:woUserID w:val="1"/>
        </w:rPr>
        <w:t>第</w:t>
      </w:r>
      <w:r>
        <w:rPr>
          <w:rFonts w:hint="default" w:ascii="Times New Roman" w:hAnsi="Times New Roman" w:cs="Times New Roman"/>
          <w:color w:val="000000" w:themeColor="text1"/>
          <w:highlight w:val="none"/>
          <w:lang w:val="en-US" w:eastAsia="zh-CN"/>
          <w14:textFill>
            <w14:solidFill>
              <w14:schemeClr w14:val="tx1"/>
            </w14:solidFill>
          </w14:textFill>
          <w:woUserID w:val="1"/>
        </w:rPr>
        <w:t>四</w:t>
      </w:r>
      <w:r>
        <w:rPr>
          <w:rFonts w:hint="default" w:ascii="Times New Roman" w:hAnsi="Times New Roman" w:cs="Times New Roman"/>
          <w:color w:val="000000" w:themeColor="text1"/>
          <w:highlight w:val="none"/>
          <w:lang w:eastAsia="zh"/>
          <w14:textFill>
            <w14:solidFill>
              <w14:schemeClr w14:val="tx1"/>
            </w14:solidFill>
          </w14:textFill>
          <w:woUserID w:val="1"/>
        </w:rPr>
        <w:t xml:space="preserve">篇 </w:t>
      </w:r>
      <w:r>
        <w:rPr>
          <w:rFonts w:hint="default" w:ascii="Times New Roman" w:hAnsi="Times New Roman" w:cs="Times New Roman"/>
          <w:color w:val="000000" w:themeColor="text1"/>
          <w:highlight w:val="none"/>
          <w:lang w:val="en-US" w:eastAsia="zh"/>
          <w14:textFill>
            <w14:solidFill>
              <w14:schemeClr w14:val="tx1"/>
            </w14:solidFill>
          </w14:textFill>
          <w:woUserID w:val="1"/>
        </w:rPr>
        <w:t>建设现代化产业体系，巩固壮大实体经济根基</w:t>
      </w:r>
      <w:bookmarkEnd w:id="21"/>
    </w:p>
    <w:p w14:paraId="71F1601C">
      <w:pPr>
        <w:keepNext w:val="0"/>
        <w:keepLines w:val="0"/>
        <w:pageBreakBefore w:val="0"/>
        <w:widowControl w:val="0"/>
        <w:kinsoku/>
        <w:wordWrap/>
        <w:overflowPunct w:val="0"/>
        <w:topLinePunct w:val="0"/>
        <w:autoSpaceDE/>
        <w:autoSpaceDN/>
        <w:bidi w:val="0"/>
        <w:adjustRightInd/>
        <w:snapToGrid w:val="0"/>
        <w:spacing w:beforeAutospacing="0" w:afterAutospacing="0" w:line="600" w:lineRule="exact"/>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坚持把发展经济的着力点放在实体经济上，坚持智能化、绿色化、融合化方向，</w:t>
      </w:r>
      <w:r>
        <w:rPr>
          <w:rFonts w:hint="eastAsia" w:ascii="仿宋" w:hAnsi="仿宋" w:eastAsia="仿宋" w:cs="仿宋"/>
          <w:color w:val="000000" w:themeColor="text1"/>
          <w:highlight w:val="none"/>
          <w:lang w:eastAsia="zh"/>
          <w14:textFill>
            <w14:solidFill>
              <w14:schemeClr w14:val="tx1"/>
            </w14:solidFill>
          </w14:textFill>
        </w:rPr>
        <w:t>加快推进新型工业化，优化提升传统产业，培育壮大新兴产业和未来产业，扩能提质现代服务业，打造经济发展新引擎，</w:t>
      </w:r>
      <w:r>
        <w:rPr>
          <w:rFonts w:hint="eastAsia" w:ascii="仿宋" w:hAnsi="仿宋" w:eastAsia="仿宋" w:cs="仿宋"/>
          <w:color w:val="000000" w:themeColor="text1"/>
          <w:highlight w:val="none"/>
          <w14:textFill>
            <w14:solidFill>
              <w14:schemeClr w14:val="tx1"/>
            </w14:solidFill>
          </w14:textFill>
        </w:rPr>
        <w:t>着力构建以先进制造业为骨干的现代化产业体系，不断推进中国式现代化东风实践迈出新的坚实步伐。</w:t>
      </w:r>
    </w:p>
    <w:p w14:paraId="35FF8B3C">
      <w:pPr>
        <w:pStyle w:val="3"/>
        <w:keepNext w:val="0"/>
        <w:keepLines w:val="0"/>
        <w:pageBreakBefore w:val="0"/>
        <w:widowControl w:val="0"/>
        <w:kinsoku/>
        <w:wordWrap/>
        <w:overflowPunct w:val="0"/>
        <w:topLinePunct w:val="0"/>
        <w:autoSpaceDE/>
        <w:autoSpaceDN/>
        <w:bidi w:val="0"/>
        <w:adjustRightInd/>
        <w:snapToGrid w:val="0"/>
        <w:spacing w:beforeAutospacing="0" w:afterAutospacing="0" w:line="600" w:lineRule="exact"/>
        <w:jc w:val="center"/>
        <w:textAlignment w:val="auto"/>
        <w:rPr>
          <w:rFonts w:hint="eastAsia" w:ascii="楷体" w:hAnsi="楷体" w:eastAsia="楷体" w:cs="楷体"/>
          <w:color w:val="000000" w:themeColor="text1"/>
          <w:highlight w:val="none"/>
          <w:lang w:eastAsia="zh"/>
          <w14:textFill>
            <w14:solidFill>
              <w14:schemeClr w14:val="tx1"/>
            </w14:solidFill>
          </w14:textFill>
        </w:rPr>
      </w:pPr>
      <w:bookmarkStart w:id="22" w:name="_Toc23819"/>
      <w:r>
        <w:rPr>
          <w:rFonts w:hint="eastAsia" w:ascii="楷体" w:hAnsi="楷体" w:eastAsia="楷体" w:cs="楷体"/>
          <w:color w:val="000000" w:themeColor="text1"/>
          <w:highlight w:val="none"/>
          <w:lang w:eastAsia="zh"/>
          <w14:textFill>
            <w14:solidFill>
              <w14:schemeClr w14:val="tx1"/>
            </w14:solidFill>
          </w14:textFill>
        </w:rPr>
        <w:t>第十</w:t>
      </w:r>
      <w:r>
        <w:rPr>
          <w:rFonts w:hint="eastAsia" w:ascii="楷体" w:hAnsi="楷体" w:eastAsia="楷体" w:cs="楷体"/>
          <w:color w:val="000000" w:themeColor="text1"/>
          <w:highlight w:val="none"/>
          <w:lang w:val="en-US" w:eastAsia="zh-CN"/>
          <w14:textFill>
            <w14:solidFill>
              <w14:schemeClr w14:val="tx1"/>
            </w14:solidFill>
          </w14:textFill>
        </w:rPr>
        <w:t>三</w:t>
      </w:r>
      <w:r>
        <w:rPr>
          <w:rFonts w:hint="eastAsia" w:ascii="楷体" w:hAnsi="楷体" w:eastAsia="楷体" w:cs="楷体"/>
          <w:color w:val="000000" w:themeColor="text1"/>
          <w:highlight w:val="none"/>
          <w:lang w:eastAsia="zh"/>
          <w14:textFill>
            <w14:solidFill>
              <w14:schemeClr w14:val="tx1"/>
            </w14:solidFill>
          </w14:textFill>
        </w:rPr>
        <w:t>章 优化提升传统产业</w:t>
      </w:r>
      <w:bookmarkEnd w:id="22"/>
    </w:p>
    <w:p w14:paraId="4A08222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rPr>
      </w:pPr>
      <w:r>
        <w:rPr>
          <w:rFonts w:hint="eastAsia" w:ascii="仿宋" w:hAnsi="仿宋" w:eastAsia="仿宋" w:cs="仿宋"/>
          <w:color w:val="000000" w:themeColor="text1"/>
          <w:highlight w:val="none"/>
          <w:lang w:eastAsia="zh"/>
          <w14:textFill>
            <w14:solidFill>
              <w14:schemeClr w14:val="tx1"/>
            </w14:solidFill>
          </w14:textFill>
        </w:rPr>
        <w:t>加快升级高端装备、绿色食品、</w:t>
      </w:r>
      <w:r>
        <w:rPr>
          <w:rFonts w:hint="eastAsia" w:ascii="仿宋" w:hAnsi="仿宋" w:eastAsia="仿宋" w:cs="仿宋"/>
          <w:color w:val="000000" w:themeColor="text1"/>
          <w:highlight w:val="none"/>
          <w:lang w:val="en-US" w:eastAsia="zh-CN"/>
          <w14:textFill>
            <w14:solidFill>
              <w14:schemeClr w14:val="tx1"/>
            </w14:solidFill>
          </w14:textFill>
        </w:rPr>
        <w:t>医药化工</w:t>
      </w:r>
      <w:r>
        <w:rPr>
          <w:rFonts w:hint="eastAsia" w:ascii="仿宋" w:hAnsi="仿宋" w:eastAsia="仿宋" w:cs="仿宋"/>
          <w:color w:val="000000" w:themeColor="text1"/>
          <w:highlight w:val="none"/>
          <w:lang w:eastAsia="zh"/>
          <w14:textFill>
            <w14:solidFill>
              <w14:schemeClr w14:val="tx1"/>
            </w14:solidFill>
          </w14:textFill>
        </w:rPr>
        <w:t>等传统产业，</w:t>
      </w:r>
      <w:r>
        <w:rPr>
          <w:rFonts w:hint="eastAsia" w:ascii="仿宋" w:hAnsi="仿宋" w:eastAsia="仿宋" w:cs="仿宋"/>
          <w:color w:val="000000" w:themeColor="text1"/>
          <w:highlight w:val="none"/>
          <w14:textFill>
            <w14:solidFill>
              <w14:schemeClr w14:val="tx1"/>
            </w14:solidFill>
          </w14:textFill>
        </w:rPr>
        <w:t>推动传统产业扩量提质</w:t>
      </w:r>
      <w:r>
        <w:rPr>
          <w:rFonts w:hint="eastAsia" w:ascii="仿宋" w:hAnsi="仿宋" w:eastAsia="仿宋" w:cs="仿宋"/>
          <w:color w:val="000000" w:themeColor="text1"/>
          <w:highlight w:val="none"/>
          <w:lang w:eastAsia="zh"/>
          <w14:textFill>
            <w14:solidFill>
              <w14:schemeClr w14:val="tx1"/>
            </w14:solidFill>
          </w14:textFill>
        </w:rPr>
        <w:t>，提升东风区传统产业分工地位和竞争力</w:t>
      </w:r>
      <w:r>
        <w:rPr>
          <w:rFonts w:hint="eastAsia" w:ascii="仿宋" w:hAnsi="仿宋" w:eastAsia="仿宋" w:cs="仿宋"/>
          <w:color w:val="000000" w:themeColor="text1"/>
          <w:highlight w:val="none"/>
          <w14:textFill>
            <w14:solidFill>
              <w14:schemeClr w14:val="tx1"/>
            </w14:solidFill>
          </w14:textFill>
        </w:rPr>
        <w:t>。推动</w:t>
      </w:r>
      <w:r>
        <w:rPr>
          <w:rFonts w:hint="eastAsia" w:ascii="仿宋" w:hAnsi="仿宋" w:eastAsia="仿宋" w:cs="仿宋"/>
          <w:color w:val="000000" w:themeColor="text1"/>
          <w:highlight w:val="none"/>
          <w:lang w:eastAsia="zh"/>
          <w14:textFill>
            <w14:solidFill>
              <w14:schemeClr w14:val="tx1"/>
            </w14:solidFill>
          </w14:textFill>
        </w:rPr>
        <w:t>工业领域大规模设备更新和技术改造</w:t>
      </w:r>
      <w:r>
        <w:rPr>
          <w:rFonts w:hint="eastAsia" w:ascii="仿宋" w:hAnsi="仿宋" w:eastAsia="仿宋" w:cs="仿宋"/>
          <w:color w:val="000000" w:themeColor="text1"/>
          <w:highlight w:val="none"/>
          <w14:textFill>
            <w14:solidFill>
              <w14:schemeClr w14:val="tx1"/>
            </w14:solidFill>
          </w14:textFill>
        </w:rPr>
        <w:t>，促进</w:t>
      </w:r>
      <w:r>
        <w:rPr>
          <w:rFonts w:hint="eastAsia" w:ascii="仿宋" w:hAnsi="仿宋" w:eastAsia="仿宋" w:cs="仿宋"/>
          <w:color w:val="000000" w:themeColor="text1"/>
          <w:highlight w:val="none"/>
          <w:lang w:eastAsia="zh"/>
          <w14:textFill>
            <w14:solidFill>
              <w14:schemeClr w14:val="tx1"/>
            </w14:solidFill>
          </w14:textFill>
        </w:rPr>
        <w:t>传统产业高端化、智能化、绿色化、融合化发展</w:t>
      </w:r>
      <w:r>
        <w:rPr>
          <w:rFonts w:hint="eastAsia" w:ascii="仿宋" w:hAnsi="仿宋" w:eastAsia="仿宋" w:cs="仿宋"/>
          <w:color w:val="000000" w:themeColor="text1"/>
          <w:highlight w:val="none"/>
          <w14:textFill>
            <w14:solidFill>
              <w14:schemeClr w14:val="tx1"/>
            </w14:solidFill>
          </w14:textFill>
        </w:rPr>
        <w:t>。</w:t>
      </w:r>
    </w:p>
    <w:p w14:paraId="0F88C62F">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u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lang w:eastAsia="zh"/>
          <w14:textFill>
            <w14:solidFill>
              <w14:schemeClr w14:val="tx1"/>
            </w14:solidFill>
          </w14:textFill>
        </w:rPr>
        <w:t>建设高端装备制造基地。</w:t>
      </w:r>
      <w:r>
        <w:rPr>
          <w:rFonts w:hint="eastAsia" w:ascii="仿宋" w:hAnsi="仿宋" w:eastAsia="仿宋" w:cs="仿宋"/>
          <w:color w:val="000000" w:themeColor="text1"/>
          <w:highlight w:val="none"/>
          <w14:textFill>
            <w14:solidFill>
              <w14:schemeClr w14:val="tx1"/>
            </w14:solidFill>
          </w14:textFill>
        </w:rPr>
        <w:t>立足高端装备制造产业规模发展，以佳煤机、松辽二船厂等优势企业为引领，扩大掘进机、</w:t>
      </w:r>
      <w:r>
        <w:rPr>
          <w:rFonts w:hint="eastAsia" w:ascii="仿宋" w:hAnsi="仿宋" w:eastAsia="仿宋" w:cs="仿宋"/>
          <w:color w:val="000000" w:themeColor="text1"/>
          <w:highlight w:val="none"/>
          <w:lang w:val="en-US" w:eastAsia="zh-CN"/>
          <w14:textFill>
            <w14:solidFill>
              <w14:schemeClr w14:val="tx1"/>
            </w14:solidFill>
          </w14:textFill>
        </w:rPr>
        <w:t>采煤</w:t>
      </w:r>
      <w:r>
        <w:rPr>
          <w:rFonts w:hint="eastAsia" w:ascii="仿宋" w:hAnsi="仿宋" w:eastAsia="仿宋" w:cs="仿宋"/>
          <w:color w:val="000000" w:themeColor="text1"/>
          <w:highlight w:val="none"/>
          <w14:textFill>
            <w14:solidFill>
              <w14:schemeClr w14:val="tx1"/>
            </w14:solidFill>
          </w14:textFill>
        </w:rPr>
        <w:t>机、新功能船舶等重点装备制造产业规模，打造高端装备制造基地。</w:t>
      </w:r>
      <w:r>
        <w:rPr>
          <w:rFonts w:hint="eastAsia" w:ascii="仿宋" w:hAnsi="仿宋" w:eastAsia="仿宋" w:cs="仿宋"/>
          <w:color w:val="000000" w:themeColor="text1"/>
          <w:highlight w:val="none"/>
          <w:lang w:eastAsia="zh"/>
          <w14:textFill>
            <w14:solidFill>
              <w14:schemeClr w14:val="tx1"/>
            </w14:solidFill>
          </w14:textFill>
        </w:rPr>
        <w:t>提升煤机研发和制造能力，</w:t>
      </w:r>
      <w:r>
        <w:rPr>
          <w:rFonts w:hint="eastAsia" w:ascii="仿宋" w:hAnsi="仿宋" w:eastAsia="仿宋" w:cs="仿宋"/>
          <w:color w:val="000000" w:themeColor="text1"/>
          <w:highlight w:val="none"/>
          <w:lang w:val="en-US" w:eastAsia="zh-CN"/>
          <w14:textFill>
            <w14:solidFill>
              <w14:schemeClr w14:val="tx1"/>
            </w14:solidFill>
          </w14:textFill>
        </w:rPr>
        <w:t>积极</w:t>
      </w:r>
      <w:r>
        <w:rPr>
          <w:rFonts w:hint="eastAsia" w:ascii="仿宋" w:hAnsi="仿宋" w:eastAsia="仿宋" w:cs="仿宋"/>
          <w:color w:val="000000" w:themeColor="text1"/>
          <w:highlight w:val="none"/>
          <w:lang w:eastAsia="zh"/>
          <w14:textFill>
            <w14:solidFill>
              <w14:schemeClr w14:val="tx1"/>
            </w14:solidFill>
          </w14:textFill>
        </w:rPr>
        <w:t>研发智能化、高安全</w:t>
      </w:r>
      <w:r>
        <w:rPr>
          <w:rFonts w:hint="eastAsia" w:ascii="仿宋" w:hAnsi="仿宋" w:eastAsia="仿宋" w:cs="仿宋"/>
          <w:color w:val="000000" w:themeColor="text1"/>
          <w:highlight w:val="none"/>
          <w:lang w:val="en-US" w:eastAsia="zh-CN"/>
          <w14:textFill>
            <w14:solidFill>
              <w14:schemeClr w14:val="tx1"/>
            </w14:solidFill>
          </w14:textFill>
        </w:rPr>
        <w:t>性</w:t>
      </w:r>
      <w:r>
        <w:rPr>
          <w:rFonts w:hint="eastAsia" w:ascii="仿宋" w:hAnsi="仿宋" w:eastAsia="仿宋" w:cs="仿宋"/>
          <w:color w:val="000000" w:themeColor="text1"/>
          <w:highlight w:val="none"/>
          <w:lang w:eastAsia="zh"/>
          <w14:textFill>
            <w14:solidFill>
              <w14:schemeClr w14:val="tx1"/>
            </w14:solidFill>
          </w14:textFill>
        </w:rPr>
        <w:t>的煤矿开采成套设备，增强煤矿安全设备研发和制造能力，提高对俄罗斯、</w:t>
      </w:r>
      <w:r>
        <w:rPr>
          <w:rFonts w:hint="eastAsia" w:ascii="仿宋" w:hAnsi="仿宋" w:eastAsia="仿宋" w:cs="仿宋"/>
          <w:color w:val="000000" w:themeColor="text1"/>
          <w:highlight w:val="none"/>
          <w:lang w:val="en-US" w:eastAsia="zh-CN"/>
          <w14:textFill>
            <w14:solidFill>
              <w14:schemeClr w14:val="tx1"/>
            </w14:solidFill>
          </w14:textFill>
        </w:rPr>
        <w:t>东南亚</w:t>
      </w:r>
      <w:r>
        <w:rPr>
          <w:rFonts w:hint="eastAsia" w:ascii="仿宋" w:hAnsi="仿宋" w:eastAsia="仿宋" w:cs="仿宋"/>
          <w:color w:val="000000" w:themeColor="text1"/>
          <w:highlight w:val="none"/>
          <w:lang w:eastAsia="zh"/>
          <w14:textFill>
            <w14:solidFill>
              <w14:schemeClr w14:val="tx1"/>
            </w14:solidFill>
          </w14:textFill>
        </w:rPr>
        <w:t>等重点海外市场覆盖水平。提高船舶研发设计和总装建造水平，</w:t>
      </w:r>
      <w:r>
        <w:rPr>
          <w:rFonts w:hint="eastAsia" w:ascii="仿宋" w:hAnsi="仿宋" w:eastAsia="仿宋" w:cs="仿宋"/>
          <w:color w:val="000000" w:themeColor="text1"/>
          <w:highlight w:val="none"/>
          <w14:textFill>
            <w14:solidFill>
              <w14:schemeClr w14:val="tx1"/>
            </w14:solidFill>
          </w14:textFill>
        </w:rPr>
        <w:t>立足内河水运优势，大力发展船舶制造修理、船用配套产品，进一步提升内河公务船、</w:t>
      </w:r>
      <w:r>
        <w:rPr>
          <w:rFonts w:hint="eastAsia" w:ascii="仿宋" w:hAnsi="仿宋" w:eastAsia="仿宋" w:cs="仿宋"/>
          <w:color w:val="000000" w:themeColor="text1"/>
          <w:highlight w:val="none"/>
          <w:lang w:eastAsia="zh"/>
          <w14:textFill>
            <w14:solidFill>
              <w14:schemeClr w14:val="tx1"/>
            </w14:solidFill>
          </w14:textFill>
        </w:rPr>
        <w:t>采砂船、</w:t>
      </w:r>
      <w:r>
        <w:rPr>
          <w:rFonts w:hint="eastAsia" w:ascii="仿宋" w:hAnsi="仿宋" w:eastAsia="仿宋" w:cs="仿宋"/>
          <w:color w:val="000000" w:themeColor="text1"/>
          <w:highlight w:val="none"/>
          <w14:textFill>
            <w14:solidFill>
              <w14:schemeClr w14:val="tx1"/>
            </w14:solidFill>
          </w14:textFill>
        </w:rPr>
        <w:t>捕鱼船、游艇、新能源船的制造、维修和拆解能力</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积极招引船舶制造和机械、电子、有色金属等零配件配套企业</w:t>
      </w:r>
      <w:r>
        <w:rPr>
          <w:rFonts w:hint="eastAsia" w:ascii="仿宋" w:hAnsi="仿宋" w:eastAsia="仿宋" w:cs="仿宋"/>
          <w:color w:val="000000" w:themeColor="text1"/>
          <w:highlight w:val="none"/>
          <w:lang w:eastAsia="zh"/>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补齐内河船舶全产业链环节</w:t>
      </w:r>
      <w:r>
        <w:rPr>
          <w:rFonts w:hint="eastAsia" w:ascii="仿宋" w:hAnsi="仿宋" w:eastAsia="仿宋" w:cs="仿宋"/>
          <w:color w:val="000000" w:themeColor="text1"/>
          <w:highlight w:val="none"/>
          <w:lang w:eastAsia="zh"/>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建成黑龙江省船舶生产基地。</w:t>
      </w:r>
      <w:r>
        <w:rPr>
          <w:rFonts w:hint="eastAsia" w:ascii="仿宋" w:hAnsi="仿宋" w:eastAsia="仿宋" w:cs="仿宋"/>
          <w:color w:val="000000" w:themeColor="text1"/>
          <w:highlight w:val="none"/>
          <w:u w:val="none"/>
          <w14:textFill>
            <w14:solidFill>
              <w14:schemeClr w14:val="tx1"/>
            </w14:solidFill>
          </w14:textFill>
        </w:rPr>
        <w:t>积极推动特种车辆的引进建设</w:t>
      </w:r>
      <w:r>
        <w:rPr>
          <w:rFonts w:hint="eastAsia" w:ascii="仿宋" w:hAnsi="仿宋" w:eastAsia="仿宋" w:cs="仿宋"/>
          <w:color w:val="000000" w:themeColor="text1"/>
          <w:highlight w:val="none"/>
          <w:u w:val="none"/>
          <w:lang w:eastAsia="zh"/>
          <w14:textFill>
            <w14:solidFill>
              <w14:schemeClr w14:val="tx1"/>
            </w14:solidFill>
          </w14:textFill>
        </w:rPr>
        <w:t>，</w:t>
      </w:r>
      <w:r>
        <w:rPr>
          <w:rFonts w:hint="eastAsia" w:ascii="仿宋" w:hAnsi="仿宋" w:eastAsia="仿宋" w:cs="仿宋"/>
          <w:color w:val="000000" w:themeColor="text1"/>
          <w:highlight w:val="none"/>
          <w:u w:val="none"/>
          <w14:textFill>
            <w14:solidFill>
              <w14:schemeClr w14:val="tx1"/>
            </w14:solidFill>
          </w14:textFill>
        </w:rPr>
        <w:t>重点</w:t>
      </w:r>
      <w:r>
        <w:rPr>
          <w:rFonts w:hint="eastAsia" w:ascii="仿宋" w:hAnsi="仿宋" w:eastAsia="仿宋" w:cs="仿宋"/>
          <w:color w:val="000000" w:themeColor="text1"/>
          <w:highlight w:val="none"/>
          <w:u w:val="none"/>
          <w:lang w:val="en-US" w:eastAsia="zh-CN"/>
          <w14:textFill>
            <w14:solidFill>
              <w14:schemeClr w14:val="tx1"/>
            </w14:solidFill>
          </w14:textFill>
        </w:rPr>
        <w:t>引进</w:t>
      </w:r>
      <w:r>
        <w:rPr>
          <w:rFonts w:hint="eastAsia" w:ascii="仿宋" w:hAnsi="仿宋" w:eastAsia="仿宋" w:cs="仿宋"/>
          <w:color w:val="000000" w:themeColor="text1"/>
          <w:highlight w:val="none"/>
          <w:u w:val="none"/>
          <w14:textFill>
            <w14:solidFill>
              <w14:schemeClr w14:val="tx1"/>
            </w14:solidFill>
          </w14:textFill>
        </w:rPr>
        <w:t>建设除冰雪车及装备、环卫车等特种车辆项目，打造全</w:t>
      </w:r>
      <w:r>
        <w:rPr>
          <w:rFonts w:hint="eastAsia" w:ascii="仿宋" w:hAnsi="仿宋" w:eastAsia="仿宋" w:cs="仿宋"/>
          <w:color w:val="000000" w:themeColor="text1"/>
          <w:highlight w:val="none"/>
          <w:u w:val="none"/>
          <w:lang w:eastAsia="zh"/>
          <w14:textFill>
            <w14:solidFill>
              <w14:schemeClr w14:val="tx1"/>
            </w14:solidFill>
          </w14:textFill>
        </w:rPr>
        <w:t>市</w:t>
      </w:r>
      <w:r>
        <w:rPr>
          <w:rFonts w:hint="eastAsia" w:ascii="仿宋" w:hAnsi="仿宋" w:eastAsia="仿宋" w:cs="仿宋"/>
          <w:color w:val="000000" w:themeColor="text1"/>
          <w:highlight w:val="none"/>
          <w:u w:val="none"/>
          <w14:textFill>
            <w14:solidFill>
              <w14:schemeClr w14:val="tx1"/>
            </w14:solidFill>
          </w14:textFill>
        </w:rPr>
        <w:t>特种车辆制造基地。</w:t>
      </w:r>
    </w:p>
    <w:tbl>
      <w:tblPr>
        <w:tblStyle w:val="1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6"/>
      </w:tblGrid>
      <w:tr w14:paraId="338A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Borders>
              <w:top w:val="single" w:color="auto" w:sz="4" w:space="0"/>
              <w:left w:val="single" w:color="auto" w:sz="4" w:space="0"/>
              <w:bottom w:val="single" w:color="auto" w:sz="4" w:space="0"/>
              <w:right w:val="single" w:color="auto" w:sz="4" w:space="0"/>
            </w:tcBorders>
          </w:tcPr>
          <w:p w14:paraId="53E5A640">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0" w:firstLineChars="0"/>
              <w:jc w:val="center"/>
              <w:rPr>
                <w:rFonts w:hint="default" w:ascii="Times New Roman" w:hAnsi="Times New Roman" w:eastAsia="仿宋_GB2312" w:cs="Times New Roman"/>
                <w:color w:val="000000" w:themeColor="text1"/>
                <w:sz w:val="24"/>
                <w:szCs w:val="24"/>
                <w:highlight w:val="none"/>
                <w:lang w:eastAsia="zh"/>
                <w14:textFill>
                  <w14:solidFill>
                    <w14:schemeClr w14:val="tx1"/>
                  </w14:solidFill>
                </w14:textFill>
                <w:woUserID w:val="3"/>
              </w:rPr>
            </w:pP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woUserID w:val="3"/>
              </w:rPr>
              <w:t>专栏</w:t>
            </w:r>
            <w:r>
              <w:rPr>
                <w:rFonts w:hint="eastAsia" w:eastAsia="微软雅黑" w:cs="Times New Roman"/>
                <w:color w:val="000000" w:themeColor="text1"/>
                <w:sz w:val="24"/>
                <w:szCs w:val="24"/>
                <w:highlight w:val="none"/>
                <w:lang w:val="en-US" w:eastAsia="zh-CN" w:bidi="ar"/>
                <w14:textFill>
                  <w14:solidFill>
                    <w14:schemeClr w14:val="tx1"/>
                  </w14:solidFill>
                </w14:textFill>
                <w:woUserID w:val="3"/>
              </w:rPr>
              <w:t>4</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3"/>
              </w:rPr>
              <w:t>-1</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woUserID w:val="3"/>
              </w:rPr>
              <w:t xml:space="preserve">   </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3"/>
              </w:rPr>
              <w:t>高端装备产业发展方向及重大项目</w:t>
            </w:r>
          </w:p>
        </w:tc>
      </w:tr>
      <w:tr w14:paraId="5D6C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14:paraId="691C5949">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eastAsia" w:ascii="仿宋" w:hAnsi="仿宋" w:eastAsia="仿宋" w:cs="仿宋"/>
                <w:b w:val="0"/>
                <w:bCs w:val="0"/>
                <w:color w:val="000000" w:themeColor="text1"/>
                <w:sz w:val="24"/>
                <w:szCs w:val="24"/>
                <w:highlight w:val="none"/>
                <w:lang w:bidi="ar"/>
                <w14:textFill>
                  <w14:solidFill>
                    <w14:schemeClr w14:val="tx1"/>
                  </w14:solidFill>
                </w14:textFill>
                <w:woUserID w:val="3"/>
              </w:rPr>
            </w:pPr>
            <w:r>
              <w:rPr>
                <w:rFonts w:hint="eastAsia" w:ascii="仿宋" w:hAnsi="仿宋" w:eastAsia="仿宋" w:cs="仿宋"/>
                <w:b/>
                <w:bCs/>
                <w:color w:val="000000" w:themeColor="text1"/>
                <w:sz w:val="24"/>
                <w:szCs w:val="24"/>
                <w:highlight w:val="none"/>
                <w:lang w:eastAsia="zh" w:bidi="ar"/>
                <w14:textFill>
                  <w14:solidFill>
                    <w14:schemeClr w14:val="tx1"/>
                  </w14:solidFill>
                </w14:textFill>
                <w:woUserID w:val="3"/>
              </w:rPr>
              <w:t>煤机。</w:t>
            </w:r>
            <w:r>
              <w:rPr>
                <w:rFonts w:hint="eastAsia" w:ascii="仿宋" w:hAnsi="仿宋" w:eastAsia="仿宋" w:cs="仿宋"/>
                <w:b w:val="0"/>
                <w:bCs w:val="0"/>
                <w:color w:val="000000" w:themeColor="text1"/>
                <w:sz w:val="24"/>
                <w:szCs w:val="24"/>
                <w:highlight w:val="none"/>
                <w:lang w:eastAsia="zh" w:bidi="ar"/>
                <w14:textFill>
                  <w14:solidFill>
                    <w14:schemeClr w14:val="tx1"/>
                  </w14:solidFill>
                </w14:textFill>
                <w:woUserID w:val="3"/>
              </w:rPr>
              <w:t>积极发展智能型开采成套设备、掘锚一体化装备以及露天安全高效开采设备以及监测监控等煤矿安全设备，重点推进</w:t>
            </w:r>
            <w:r>
              <w:rPr>
                <w:rFonts w:hint="eastAsia" w:ascii="仿宋" w:hAnsi="仿宋" w:eastAsia="仿宋" w:cs="仿宋"/>
                <w:b w:val="0"/>
                <w:bCs w:val="0"/>
                <w:color w:val="000000" w:themeColor="text1"/>
                <w:sz w:val="24"/>
                <w:szCs w:val="24"/>
                <w:highlight w:val="none"/>
                <w:lang w:bidi="ar"/>
                <w14:textFill>
                  <w14:solidFill>
                    <w14:schemeClr w14:val="tx1"/>
                  </w14:solidFill>
                </w14:textFill>
                <w:woUserID w:val="3"/>
              </w:rPr>
              <w:t>新型采煤机建设</w:t>
            </w:r>
            <w:r>
              <w:rPr>
                <w:rFonts w:hint="eastAsia" w:ascii="仿宋" w:hAnsi="仿宋" w:eastAsia="仿宋" w:cs="仿宋"/>
                <w:b w:val="0"/>
                <w:bCs w:val="0"/>
                <w:color w:val="000000" w:themeColor="text1"/>
                <w:sz w:val="24"/>
                <w:szCs w:val="24"/>
                <w:highlight w:val="none"/>
                <w:lang w:eastAsia="zh" w:bidi="ar"/>
                <w14:textFill>
                  <w14:solidFill>
                    <w14:schemeClr w14:val="tx1"/>
                  </w14:solidFill>
                </w14:textFill>
                <w:woUserID w:val="3"/>
              </w:rPr>
              <w:t>等重点项目建设</w:t>
            </w:r>
            <w:r>
              <w:rPr>
                <w:rFonts w:hint="eastAsia" w:ascii="仿宋" w:hAnsi="仿宋" w:eastAsia="仿宋" w:cs="仿宋"/>
                <w:b w:val="0"/>
                <w:bCs w:val="0"/>
                <w:color w:val="000000" w:themeColor="text1"/>
                <w:sz w:val="24"/>
                <w:szCs w:val="24"/>
                <w:highlight w:val="none"/>
                <w:lang w:bidi="ar"/>
                <w14:textFill>
                  <w14:solidFill>
                    <w14:schemeClr w14:val="tx1"/>
                  </w14:solidFill>
                </w14:textFill>
                <w:woUserID w:val="3"/>
              </w:rPr>
              <w:t>。</w:t>
            </w:r>
          </w:p>
          <w:p w14:paraId="29E66E7F">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eastAsia" w:ascii="仿宋" w:hAnsi="仿宋" w:eastAsia="仿宋" w:cs="仿宋"/>
                <w:b w:val="0"/>
                <w:bCs w:val="0"/>
                <w:color w:val="000000" w:themeColor="text1"/>
                <w:sz w:val="24"/>
                <w:szCs w:val="24"/>
                <w:highlight w:val="none"/>
                <w:lang w:eastAsia="zh" w:bidi="ar"/>
                <w14:textFill>
                  <w14:solidFill>
                    <w14:schemeClr w14:val="tx1"/>
                  </w14:solidFill>
                </w14:textFill>
                <w:woUserID w:val="3"/>
              </w:rPr>
            </w:pPr>
            <w:r>
              <w:rPr>
                <w:rFonts w:hint="eastAsia" w:ascii="仿宋" w:hAnsi="仿宋" w:eastAsia="仿宋" w:cs="仿宋"/>
                <w:b/>
                <w:bCs/>
                <w:color w:val="000000" w:themeColor="text1"/>
                <w:sz w:val="24"/>
                <w:szCs w:val="24"/>
                <w:highlight w:val="none"/>
                <w:lang w:eastAsia="zh" w:bidi="ar"/>
                <w14:textFill>
                  <w14:solidFill>
                    <w14:schemeClr w14:val="tx1"/>
                  </w14:solidFill>
                </w14:textFill>
                <w:woUserID w:val="3"/>
              </w:rPr>
              <w:t>内河船舶。</w:t>
            </w:r>
            <w:r>
              <w:rPr>
                <w:rFonts w:hint="eastAsia" w:ascii="仿宋" w:hAnsi="仿宋" w:eastAsia="仿宋" w:cs="仿宋"/>
                <w:b w:val="0"/>
                <w:bCs w:val="0"/>
                <w:color w:val="000000" w:themeColor="text1"/>
                <w:sz w:val="24"/>
                <w:szCs w:val="24"/>
                <w:highlight w:val="none"/>
                <w:lang w:eastAsia="zh" w:bidi="ar"/>
                <w14:textFill>
                  <w14:solidFill>
                    <w14:schemeClr w14:val="tx1"/>
                  </w14:solidFill>
                </w14:textFill>
                <w:woUserID w:val="3"/>
              </w:rPr>
              <w:t>做强公务船、采砂船、民用船等拳头产品，拓展全铝合金船舶、特种作业船舶等新产品市场，积极招引船舶制造和机械、电子、有色金属等零配件配套企业，补齐内河船舶全产业链环节，建成黑龙江省船舶生产基地。</w:t>
            </w:r>
          </w:p>
          <w:p w14:paraId="5315D03F">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color w:val="000000" w:themeColor="text1"/>
                <w:sz w:val="24"/>
                <w:szCs w:val="24"/>
                <w:highlight w:val="none"/>
                <w:lang w:bidi="ar"/>
                <w14:textFill>
                  <w14:solidFill>
                    <w14:schemeClr w14:val="tx1"/>
                  </w14:solidFill>
                </w14:textFill>
                <w:woUserID w:val="3"/>
              </w:rPr>
            </w:pPr>
            <w:r>
              <w:rPr>
                <w:rFonts w:hint="eastAsia" w:ascii="仿宋" w:hAnsi="仿宋" w:eastAsia="仿宋" w:cs="仿宋"/>
                <w:b/>
                <w:bCs/>
                <w:color w:val="000000" w:themeColor="text1"/>
                <w:sz w:val="24"/>
                <w:szCs w:val="24"/>
                <w:highlight w:val="none"/>
                <w:lang w:bidi="ar"/>
                <w14:textFill>
                  <w14:solidFill>
                    <w14:schemeClr w14:val="tx1"/>
                  </w14:solidFill>
                </w14:textFill>
                <w:woUserID w:val="3"/>
              </w:rPr>
              <w:t>特种车辆</w:t>
            </w:r>
            <w:r>
              <w:rPr>
                <w:rFonts w:hint="eastAsia" w:ascii="仿宋" w:hAnsi="仿宋" w:eastAsia="仿宋" w:cs="仿宋"/>
                <w:b/>
                <w:bCs/>
                <w:color w:val="000000" w:themeColor="text1"/>
                <w:sz w:val="24"/>
                <w:szCs w:val="24"/>
                <w:highlight w:val="none"/>
                <w:lang w:eastAsia="zh" w:bidi="ar"/>
                <w14:textFill>
                  <w14:solidFill>
                    <w14:schemeClr w14:val="tx1"/>
                  </w14:solidFill>
                </w14:textFill>
                <w:woUserID w:val="3"/>
              </w:rPr>
              <w:t>。</w:t>
            </w:r>
            <w:r>
              <w:rPr>
                <w:rFonts w:hint="eastAsia" w:ascii="仿宋" w:hAnsi="仿宋" w:eastAsia="仿宋" w:cs="仿宋"/>
                <w:color w:val="000000" w:themeColor="text1"/>
                <w:sz w:val="24"/>
                <w:szCs w:val="24"/>
                <w:highlight w:val="none"/>
                <w:lang w:bidi="ar"/>
                <w14:textFill>
                  <w14:solidFill>
                    <w14:schemeClr w14:val="tx1"/>
                  </w14:solidFill>
                </w14:textFill>
                <w:woUserID w:val="3"/>
              </w:rPr>
              <w:t>着力于完善商用车的专业销售与售后服务网络，构建覆盖新车交易、后市场服务到废旧车辆绿色回收与资源化利用的全产业链循环体系，通</w:t>
            </w:r>
            <w:r>
              <w:rPr>
                <w:rFonts w:hint="default" w:ascii="Times New Roman" w:hAnsi="Times New Roman" w:cs="Times New Roman"/>
                <w:color w:val="000000" w:themeColor="text1"/>
                <w:sz w:val="24"/>
                <w:szCs w:val="24"/>
                <w:highlight w:val="none"/>
                <w:lang w:bidi="ar"/>
                <w14:textFill>
                  <w14:solidFill>
                    <w14:schemeClr w14:val="tx1"/>
                  </w14:solidFill>
                </w14:textFill>
                <w:woUserID w:val="3"/>
              </w:rPr>
              <w:t>过引进先进拆解设备提升专业化处理与合规处置能力。积极谋划大型运输车销售项目、卡车交易基地项目、废旧汽车拆解项目。</w:t>
            </w:r>
          </w:p>
        </w:tc>
      </w:tr>
    </w:tbl>
    <w:p w14:paraId="1B580384">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lang w:eastAsia="zh"/>
          <w14:textFill>
            <w14:solidFill>
              <w14:schemeClr w14:val="tx1"/>
            </w14:solidFill>
          </w14:textFill>
        </w:rPr>
        <w:t>打造绿色食品产业集群。</w:t>
      </w:r>
      <w:r>
        <w:rPr>
          <w:rFonts w:hint="eastAsia" w:ascii="仿宋" w:hAnsi="仿宋" w:eastAsia="仿宋" w:cs="仿宋"/>
          <w:color w:val="000000" w:themeColor="text1"/>
          <w:highlight w:val="none"/>
          <w14:textFill>
            <w14:solidFill>
              <w14:schemeClr w14:val="tx1"/>
            </w14:solidFill>
          </w14:textFill>
        </w:rPr>
        <w:t>充分发挥东风区地缘优势，深入推进“农头工尾”“粮头食尾”，着力推动食品产业</w:t>
      </w:r>
      <w:r>
        <w:rPr>
          <w:rFonts w:hint="eastAsia" w:ascii="仿宋" w:hAnsi="仿宋" w:eastAsia="仿宋" w:cs="仿宋"/>
          <w:color w:val="000000" w:themeColor="text1"/>
          <w:highlight w:val="none"/>
          <w:lang w:eastAsia="zh"/>
          <w14:textFill>
            <w14:solidFill>
              <w14:schemeClr w14:val="tx1"/>
            </w14:solidFill>
          </w14:textFill>
        </w:rPr>
        <w:t>提质升级</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eastAsia="zh"/>
          <w14:textFill>
            <w14:solidFill>
              <w14:schemeClr w14:val="tx1"/>
            </w14:solidFill>
          </w14:textFill>
        </w:rPr>
        <w:t>打造绿色食品产业集群</w:t>
      </w:r>
      <w:r>
        <w:rPr>
          <w:rFonts w:hint="eastAsia" w:ascii="仿宋" w:hAnsi="仿宋" w:eastAsia="仿宋" w:cs="仿宋"/>
          <w:color w:val="000000" w:themeColor="text1"/>
          <w:highlight w:val="none"/>
          <w14:textFill>
            <w14:solidFill>
              <w14:schemeClr w14:val="tx1"/>
            </w14:solidFill>
          </w14:textFill>
        </w:rPr>
        <w:t>。以益海粮油、北大荒绿色食品等优势企业为引领，扩大功能性米制品、药用级豆制品、特色肉制品等重点产品生产规模，夯实产业发展根基。聚焦精深加工能力提升，重点攻关富硒米、发芽糙米、大豆异黄酮纯化、低温发酵肉制品等高端产品研发，增强绿色食品检验检测技术支撑，进一步拓展东北亚及国内重点消费市场，提升市场覆盖水平。立足黑土资源禀赋与预制菜产业发展机遇，大力发展东北家常菜、校园及企业团餐等预制菜品类，完善“研发创新-中央厨房加工-冷链配送”全链条体系，提升功能性食品与预制菜研发制造核心竞争力。积极招引食品添加剂、高端包装材料等上下游配套企业，补齐产业链薄弱环节，加快建成省级绿色食品精深加工高地</w:t>
      </w:r>
      <w:r>
        <w:rPr>
          <w:rFonts w:hint="eastAsia" w:ascii="仿宋" w:hAnsi="仿宋" w:eastAsia="仿宋" w:cs="仿宋"/>
          <w:color w:val="000000" w:themeColor="text1"/>
          <w:highlight w:val="none"/>
          <w:lang w:eastAsia="zh"/>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提升产业整体竞争力。</w:t>
      </w:r>
    </w:p>
    <w:tbl>
      <w:tblPr>
        <w:tblStyle w:val="1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6"/>
      </w:tblGrid>
      <w:tr w14:paraId="5060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Borders>
              <w:top w:val="single" w:color="auto" w:sz="4" w:space="0"/>
              <w:left w:val="single" w:color="auto" w:sz="4" w:space="0"/>
              <w:bottom w:val="single" w:color="auto" w:sz="4" w:space="0"/>
              <w:right w:val="single" w:color="auto" w:sz="4" w:space="0"/>
            </w:tcBorders>
          </w:tcPr>
          <w:p w14:paraId="2CBC687B">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woUserID w:val="3"/>
              </w:rPr>
            </w:pP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woUserID w:val="3"/>
              </w:rPr>
              <w:t>专栏</w:t>
            </w:r>
            <w:r>
              <w:rPr>
                <w:rFonts w:hint="eastAsia" w:eastAsia="微软雅黑" w:cs="Times New Roman"/>
                <w:color w:val="000000" w:themeColor="text1"/>
                <w:sz w:val="24"/>
                <w:szCs w:val="24"/>
                <w:highlight w:val="none"/>
                <w:lang w:val="en-US" w:eastAsia="zh-CN" w:bidi="ar"/>
                <w14:textFill>
                  <w14:solidFill>
                    <w14:schemeClr w14:val="tx1"/>
                  </w14:solidFill>
                </w14:textFill>
                <w:woUserID w:val="3"/>
              </w:rPr>
              <w:t>4</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3"/>
              </w:rPr>
              <w:t>-</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woUserID w:val="3"/>
              </w:rPr>
              <w:t xml:space="preserve">2   </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3"/>
              </w:rPr>
              <w:t>绿色食品产业发展方向及重大项目</w:t>
            </w:r>
          </w:p>
        </w:tc>
      </w:tr>
      <w:tr w14:paraId="4B14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14:paraId="43C9361B">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水稻精深加工。</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重点开发富硒、有机等高附加值稻米产品，延伸发展米糠油、米蛋白、米淀粉、生物糖浆等高值化副产品，积极拓展婴幼儿米粉、即食米饭、米制烘焙食品等便捷主食领域。重点推进水稻加工生产线改扩建等重点项目建设。</w:t>
            </w:r>
          </w:p>
          <w:p w14:paraId="44B6E765">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玉米精深加工。</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巩固发展淀粉、酒精等初级加工产品，向结晶葡萄糖、麦芽糖浆、氨基酸等精深加工产品延伸。重点推进玉米深加工项目、佳木斯市东风区粘玉米、冷冻蔬菜深加工项目、</w:t>
            </w:r>
            <w:r>
              <w:rPr>
                <w:rFonts w:hint="default" w:ascii="Times New Roman" w:hAnsi="Times New Roman" w:cs="Times New Roman"/>
                <w:color w:val="000000" w:themeColor="text1"/>
                <w:sz w:val="24"/>
                <w:szCs w:val="24"/>
                <w:highlight w:val="none"/>
                <w:lang w:eastAsia="zh" w:bidi="ar"/>
                <w14:textFill>
                  <w14:solidFill>
                    <w14:schemeClr w14:val="tx1"/>
                  </w14:solidFill>
                </w14:textFill>
                <w:woUserID w:val="3"/>
              </w:rPr>
              <w:t>佳木斯东风区年产2000吨玉米蛋白肽项目</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等重点项目建设。</w:t>
            </w:r>
          </w:p>
          <w:p w14:paraId="111D665C">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大豆精深加工。</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扩大高蛋白豆粕、分离蛋白、浓缩蛋白等基础产品产能，加快发展大豆磷脂、异黄酮、蛋白肽等高附加值保健原料，提升传统豆制品工业化、标准化水平。</w:t>
            </w:r>
          </w:p>
          <w:p w14:paraId="1A9FDF9A">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color w:val="000000" w:themeColor="text1"/>
                <w:sz w:val="24"/>
                <w:szCs w:val="24"/>
                <w:highlight w:val="none"/>
                <w:lang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休闲食品及保健食品。</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依托粮、豆、菌、果等资源，开发果蔬脆片、坚果炒货、风味豆干、即食菌菇等特色休闲零食。针对特定人群需求，发展植物蛋白饮品、益生菌产品、功能性提取物等营养保健食品。重点</w:t>
            </w:r>
            <w:r>
              <w:rPr>
                <w:rFonts w:hint="eastAsia" w:cs="Times New Roman"/>
                <w:color w:val="000000" w:themeColor="text1"/>
                <w:sz w:val="24"/>
                <w:szCs w:val="24"/>
                <w:highlight w:val="none"/>
                <w:lang w:val="en-US" w:eastAsia="zh-CN" w:bidi="ar"/>
                <w14:textFill>
                  <w14:solidFill>
                    <w14:schemeClr w14:val="tx1"/>
                  </w14:solidFill>
                </w14:textFill>
                <w:woUserID w:val="3"/>
              </w:rPr>
              <w:t>推进</w:t>
            </w:r>
            <w:r>
              <w:rPr>
                <w:rFonts w:hint="default" w:ascii="Times New Roman" w:hAnsi="Times New Roman" w:cs="Times New Roman"/>
                <w:color w:val="000000" w:themeColor="text1"/>
                <w:sz w:val="24"/>
                <w:szCs w:val="24"/>
                <w:highlight w:val="none"/>
                <w:lang w:eastAsia="zh" w:bidi="ar"/>
                <w14:textFill>
                  <w14:solidFill>
                    <w14:schemeClr w14:val="tx1"/>
                  </w14:solidFill>
                </w14:textFill>
                <w:woUserID w:val="3"/>
              </w:rPr>
              <w:t>纯净水及果汁饮品加工项目、东风区年产6万吨药膳食品加工项目、佳木斯市东风区绿色食品示范基地项目。</w:t>
            </w:r>
          </w:p>
        </w:tc>
      </w:tr>
    </w:tbl>
    <w:p w14:paraId="5B84B70A">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b w:val="0"/>
          <w:bCs w:val="0"/>
          <w:color w:val="000000" w:themeColor="text1"/>
          <w:highlight w:val="none"/>
          <w:lang w:eastAsia="zh"/>
          <w14:textFill>
            <w14:solidFill>
              <w14:schemeClr w14:val="tx1"/>
            </w14:solidFill>
          </w14:textFill>
          <w:woUserID w:val="0"/>
        </w:rPr>
      </w:pPr>
      <w:r>
        <w:rPr>
          <w:rFonts w:hint="eastAsia" w:ascii="仿宋" w:hAnsi="仿宋" w:eastAsia="仿宋" w:cs="仿宋"/>
          <w:b/>
          <w:bCs/>
          <w:color w:val="000000" w:themeColor="text1"/>
          <w:highlight w:val="none"/>
          <w:lang w:val="en-US" w:eastAsia="zh-CN"/>
          <w14:textFill>
            <w14:solidFill>
              <w14:schemeClr w14:val="tx1"/>
            </w14:solidFill>
          </w14:textFill>
          <w:woUserID w:val="3"/>
        </w:rPr>
        <w:t xml:space="preserve">第三节 </w:t>
      </w:r>
      <w:r>
        <w:rPr>
          <w:rFonts w:hint="eastAsia" w:ascii="仿宋" w:hAnsi="仿宋" w:eastAsia="仿宋" w:cs="仿宋"/>
          <w:b/>
          <w:bCs/>
          <w:color w:val="000000" w:themeColor="text1"/>
          <w:highlight w:val="none"/>
          <w:lang w:eastAsia="zh"/>
          <w14:textFill>
            <w14:solidFill>
              <w14:schemeClr w14:val="tx1"/>
            </w14:solidFill>
          </w14:textFill>
          <w:woUserID w:val="3"/>
        </w:rPr>
        <w:t>加快构建</w:t>
      </w:r>
      <w:r>
        <w:rPr>
          <w:rFonts w:hint="eastAsia" w:ascii="仿宋" w:hAnsi="仿宋" w:eastAsia="仿宋" w:cs="仿宋"/>
          <w:b/>
          <w:bCs/>
          <w:color w:val="000000" w:themeColor="text1"/>
          <w:highlight w:val="none"/>
          <w:lang w:val="en-US" w:eastAsia="zh-CN"/>
          <w14:textFill>
            <w14:solidFill>
              <w14:schemeClr w14:val="tx1"/>
            </w14:solidFill>
          </w14:textFill>
          <w:woUserID w:val="3"/>
        </w:rPr>
        <w:t>医药</w:t>
      </w:r>
      <w:r>
        <w:rPr>
          <w:rFonts w:hint="eastAsia" w:ascii="仿宋" w:hAnsi="仿宋" w:eastAsia="仿宋" w:cs="仿宋"/>
          <w:b/>
          <w:bCs/>
          <w:color w:val="000000" w:themeColor="text1"/>
          <w:highlight w:val="none"/>
          <w:lang w:eastAsia="zh"/>
          <w14:textFill>
            <w14:solidFill>
              <w14:schemeClr w14:val="tx1"/>
            </w14:solidFill>
          </w14:textFill>
          <w:woUserID w:val="3"/>
        </w:rPr>
        <w:t>化工产业新优势。</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0"/>
        </w:rPr>
        <w:t>坚持</w:t>
      </w:r>
      <w:r>
        <w:rPr>
          <w:rStyle w:val="19"/>
          <w:rFonts w:hint="eastAsia" w:ascii="仿宋" w:hAnsi="仿宋" w:eastAsia="仿宋" w:cs="仿宋"/>
          <w:b w:val="0"/>
          <w:bCs w:val="0"/>
          <w:i w:val="0"/>
          <w:iCs w:val="0"/>
          <w:caps w:val="0"/>
          <w:color w:val="000000" w:themeColor="text1"/>
          <w:spacing w:val="0"/>
          <w:sz w:val="32"/>
          <w:szCs w:val="32"/>
          <w:highlight w:val="none"/>
          <w:shd w:val="clear" w:fill="FFFFFF"/>
          <w14:textFill>
            <w14:solidFill>
              <w14:schemeClr w14:val="tx1"/>
            </w14:solidFill>
          </w14:textFill>
          <w:woUserID w:val="0"/>
        </w:rPr>
        <w:t>绿色、安全、集约、高效</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0"/>
        </w:rPr>
        <w:t>原则，聚焦</w:t>
      </w:r>
      <w:r>
        <w:rPr>
          <w:rStyle w:val="19"/>
          <w:rFonts w:hint="eastAsia" w:ascii="仿宋" w:hAnsi="仿宋" w:eastAsia="仿宋" w:cs="仿宋"/>
          <w:b w:val="0"/>
          <w:bCs w:val="0"/>
          <w:i w:val="0"/>
          <w:iCs w:val="0"/>
          <w:caps w:val="0"/>
          <w:color w:val="000000" w:themeColor="text1"/>
          <w:spacing w:val="0"/>
          <w:sz w:val="32"/>
          <w:szCs w:val="32"/>
          <w:highlight w:val="none"/>
          <w:shd w:val="clear" w:fill="FFFFFF"/>
          <w14:textFill>
            <w14:solidFill>
              <w14:schemeClr w14:val="tx1"/>
            </w14:solidFill>
          </w14:textFill>
          <w:woUserID w:val="0"/>
        </w:rPr>
        <w:t>生物基化工、精细化工、化工新材料及资源循环利用</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0"/>
        </w:rPr>
        <w:t>四大方向，推动产业向精细化、高端化转型。重点依托区域粮食资源优势，发展聚乳酸（PLA）、生物基多元醇等生物基材料与化学品</w:t>
      </w:r>
      <w:r>
        <w:rPr>
          <w:rFonts w:hint="eastAsia" w:ascii="仿宋" w:hAnsi="仿宋" w:eastAsia="仿宋" w:cs="仿宋"/>
          <w:i w:val="0"/>
          <w:iCs w:val="0"/>
          <w:caps w:val="0"/>
          <w:color w:val="000000" w:themeColor="text1"/>
          <w:spacing w:val="0"/>
          <w:sz w:val="32"/>
          <w:szCs w:val="32"/>
          <w:highlight w:val="none"/>
          <w:shd w:val="clear"/>
          <w:lang w:eastAsia="zh"/>
          <w14:textFill>
            <w14:solidFill>
              <w14:schemeClr w14:val="tx1"/>
            </w14:solidFill>
          </w14:textFill>
          <w:woUserID w:val="3"/>
        </w:rPr>
        <w:t>。</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0"/>
        </w:rPr>
        <w:t>面向食品、日化等下游需求，布局食品添加剂、高端日用化学品等精细化工产品</w:t>
      </w:r>
      <w:r>
        <w:rPr>
          <w:rFonts w:hint="eastAsia" w:ascii="仿宋" w:hAnsi="仿宋" w:eastAsia="仿宋" w:cs="仿宋"/>
          <w:i w:val="0"/>
          <w:iCs w:val="0"/>
          <w:caps w:val="0"/>
          <w:color w:val="000000" w:themeColor="text1"/>
          <w:spacing w:val="0"/>
          <w:sz w:val="32"/>
          <w:szCs w:val="32"/>
          <w:highlight w:val="none"/>
          <w:shd w:val="clear"/>
          <w:lang w:eastAsia="zh"/>
          <w14:textFill>
            <w14:solidFill>
              <w14:schemeClr w14:val="tx1"/>
            </w14:solidFill>
          </w14:textFill>
          <w:woUserID w:val="3"/>
        </w:rPr>
        <w:t>。</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0"/>
        </w:rPr>
        <w:t>培育新能源电池材料、特种复合材料等化工新材料，并大力发展副产物资源化利用等环保产业。通过</w:t>
      </w:r>
      <w:r>
        <w:rPr>
          <w:rStyle w:val="19"/>
          <w:rFonts w:hint="eastAsia" w:ascii="仿宋" w:hAnsi="仿宋" w:eastAsia="仿宋" w:cs="仿宋"/>
          <w:b w:val="0"/>
          <w:bCs w:val="0"/>
          <w:i w:val="0"/>
          <w:iCs w:val="0"/>
          <w:caps w:val="0"/>
          <w:color w:val="000000" w:themeColor="text1"/>
          <w:spacing w:val="0"/>
          <w:sz w:val="32"/>
          <w:szCs w:val="32"/>
          <w:highlight w:val="none"/>
          <w:shd w:val="clear" w:fill="FFFFFF"/>
          <w14:textFill>
            <w14:solidFill>
              <w14:schemeClr w14:val="tx1"/>
            </w14:solidFill>
          </w14:textFill>
          <w:woUserID w:val="0"/>
        </w:rPr>
        <w:t>开展产业链精准招商、建设产学研创新平台、严守安全环保底线</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0"/>
        </w:rPr>
        <w:t>等关键举措，致力打造成为全市重要的现代化工与新材料特色产业基地。</w:t>
      </w:r>
    </w:p>
    <w:tbl>
      <w:tblPr>
        <w:tblStyle w:val="1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6"/>
      </w:tblGrid>
      <w:tr w14:paraId="35FF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14:paraId="35FF8B46">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专栏</w:t>
            </w:r>
            <w:r>
              <w:rPr>
                <w:rFonts w:hint="eastAsia" w:eastAsia="微软雅黑" w:cs="Times New Roman"/>
                <w:color w:val="000000" w:themeColor="text1"/>
                <w:sz w:val="24"/>
                <w:szCs w:val="24"/>
                <w:highlight w:val="none"/>
                <w:lang w:val="en-US" w:eastAsia="zh-CN" w:bidi="ar"/>
                <w14:textFill>
                  <w14:solidFill>
                    <w14:schemeClr w14:val="tx1"/>
                  </w14:solidFill>
                </w14:textFill>
              </w:rPr>
              <w:t>4</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3"/>
              </w:rPr>
              <w:t>-3</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 xml:space="preserve">   东风区制造业转型升级项目谋划</w:t>
            </w:r>
          </w:p>
        </w:tc>
      </w:tr>
      <w:tr w14:paraId="35FF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14:paraId="5E0D5F3E">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color w:val="000000" w:themeColor="text1"/>
                <w:sz w:val="24"/>
                <w:szCs w:val="24"/>
                <w:highlight w:val="none"/>
                <w:lang w:bidi="ar"/>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rPr>
              <w:t>化工产业</w:t>
            </w: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w:t>
            </w:r>
            <w:r>
              <w:rPr>
                <w:rFonts w:hint="default" w:ascii="Times New Roman" w:hAnsi="Times New Roman" w:cs="Times New Roman"/>
                <w:color w:val="000000" w:themeColor="text1"/>
                <w:sz w:val="24"/>
                <w:szCs w:val="24"/>
                <w:highlight w:val="none"/>
                <w:lang w:eastAsia="zh" w:bidi="ar"/>
                <w14:textFill>
                  <w14:solidFill>
                    <w14:schemeClr w14:val="tx1"/>
                  </w14:solidFill>
                </w14:textFill>
              </w:rPr>
              <w:t>聚焦区域资源循环利用与产业延伸发展，通过完善生物饲料研发加工体系以促进农业资源高值化，加强城市有机废弃物无害化处理能力以实现循环利用，拓展化工新材料生产线以构筑多元化产业格局。积极谋划生物饲料加工、粪便无害化处理、年产30万吨聚乙烯</w:t>
            </w:r>
            <w:r>
              <w:rPr>
                <w:rFonts w:hint="eastAsia" w:cs="Times New Roman"/>
                <w:color w:val="000000" w:themeColor="text1"/>
                <w:sz w:val="24"/>
                <w:szCs w:val="24"/>
                <w:highlight w:val="none"/>
                <w:lang w:eastAsia="zh-CN" w:bidi="ar"/>
                <w14:textFill>
                  <w14:solidFill>
                    <w14:schemeClr w14:val="tx1"/>
                  </w14:solidFill>
                </w14:textFill>
              </w:rPr>
              <w:t>、</w:t>
            </w:r>
            <w:r>
              <w:rPr>
                <w:rFonts w:hint="eastAsia" w:cs="Times New Roman"/>
                <w:color w:val="000000" w:themeColor="text1"/>
                <w:sz w:val="24"/>
                <w:szCs w:val="24"/>
                <w:highlight w:val="none"/>
                <w:lang w:val="en-US" w:eastAsia="zh-CN" w:bidi="ar"/>
                <w14:textFill>
                  <w14:solidFill>
                    <w14:schemeClr w14:val="tx1"/>
                  </w14:solidFill>
                </w14:textFill>
              </w:rPr>
              <w:t>东风区噻菌灵原药生产等项目建设</w:t>
            </w:r>
            <w:r>
              <w:rPr>
                <w:rFonts w:hint="default" w:ascii="Times New Roman" w:hAnsi="Times New Roman" w:cs="Times New Roman"/>
                <w:color w:val="000000" w:themeColor="text1"/>
                <w:sz w:val="24"/>
                <w:szCs w:val="24"/>
                <w:highlight w:val="none"/>
                <w:lang w:eastAsia="zh" w:bidi="ar"/>
                <w14:textFill>
                  <w14:solidFill>
                    <w14:schemeClr w14:val="tx1"/>
                  </w14:solidFill>
                </w14:textFill>
              </w:rPr>
              <w:t>。</w:t>
            </w:r>
          </w:p>
        </w:tc>
      </w:tr>
    </w:tbl>
    <w:p w14:paraId="29A6692E">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eastAsia="zh"/>
          <w14:textFill>
            <w14:solidFill>
              <w14:schemeClr w14:val="tx1"/>
            </w14:solidFill>
          </w14:textFill>
          <w:woUserID w:val="3"/>
        </w:rPr>
      </w:pPr>
      <w:bookmarkStart w:id="23" w:name="_Toc27035"/>
      <w:r>
        <w:rPr>
          <w:rFonts w:hint="eastAsia" w:ascii="楷体" w:hAnsi="楷体" w:eastAsia="楷体" w:cs="楷体"/>
          <w:color w:val="000000" w:themeColor="text1"/>
          <w:highlight w:val="none"/>
          <w:lang w:eastAsia="zh"/>
          <w14:textFill>
            <w14:solidFill>
              <w14:schemeClr w14:val="tx1"/>
            </w14:solidFill>
          </w14:textFill>
          <w:woUserID w:val="3"/>
        </w:rPr>
        <w:t>第十</w:t>
      </w:r>
      <w:r>
        <w:rPr>
          <w:rFonts w:hint="eastAsia" w:ascii="楷体" w:hAnsi="楷体" w:eastAsia="楷体" w:cs="楷体"/>
          <w:color w:val="000000" w:themeColor="text1"/>
          <w:highlight w:val="none"/>
          <w:lang w:val="en-US" w:eastAsia="zh-CN"/>
          <w14:textFill>
            <w14:solidFill>
              <w14:schemeClr w14:val="tx1"/>
            </w14:solidFill>
          </w14:textFill>
          <w:woUserID w:val="3"/>
        </w:rPr>
        <w:t>四</w:t>
      </w:r>
      <w:r>
        <w:rPr>
          <w:rFonts w:hint="eastAsia" w:ascii="楷体" w:hAnsi="楷体" w:eastAsia="楷体" w:cs="楷体"/>
          <w:color w:val="000000" w:themeColor="text1"/>
          <w:highlight w:val="none"/>
          <w:lang w:eastAsia="zh"/>
          <w14:textFill>
            <w14:solidFill>
              <w14:schemeClr w14:val="tx1"/>
            </w14:solidFill>
          </w14:textFill>
          <w:woUserID w:val="3"/>
        </w:rPr>
        <w:t>章 培育壮大新兴和未来产业</w:t>
      </w:r>
      <w:bookmarkEnd w:id="23"/>
    </w:p>
    <w:p w14:paraId="2C6AE07F">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0"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实施产业创新工程，一体推进创新设施建设、技术研究开发、产品迭代升级，推动战略性新兴产业规模倍增</w:t>
      </w:r>
      <w:r>
        <w:rPr>
          <w:rFonts w:hint="eastAsia" w:ascii="仿宋" w:hAnsi="仿宋" w:eastAsia="仿宋" w:cs="仿宋"/>
          <w:color w:val="000000" w:themeColor="text1"/>
          <w:kern w:val="2"/>
          <w:sz w:val="32"/>
          <w:szCs w:val="32"/>
          <w:highlight w:val="none"/>
          <w:lang w:val="en-US" w:eastAsia="zh" w:bidi="ar"/>
          <w14:textFill>
            <w14:solidFill>
              <w14:schemeClr w14:val="tx1"/>
            </w14:solidFill>
          </w14:textFill>
          <w:woUserID w:val="3"/>
        </w:rPr>
        <w:t>，</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完善未来产业全链条培育体系，培育新的经济增长点。</w:t>
      </w:r>
    </w:p>
    <w:p w14:paraId="075159E6">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 xml:space="preserve">第一节 </w:t>
      </w:r>
      <w:r>
        <w:rPr>
          <w:rFonts w:hint="eastAsia" w:ascii="仿宋" w:hAnsi="仿宋" w:eastAsia="仿宋" w:cs="仿宋"/>
          <w:b/>
          <w:bCs/>
          <w:color w:val="000000" w:themeColor="text1"/>
          <w:kern w:val="2"/>
          <w:sz w:val="32"/>
          <w:szCs w:val="32"/>
          <w:highlight w:val="none"/>
          <w:lang w:val="en-US" w:eastAsia="zh" w:bidi="ar"/>
          <w14:textFill>
            <w14:solidFill>
              <w14:schemeClr w14:val="tx1"/>
            </w14:solidFill>
          </w14:textFill>
          <w:woUserID w:val="3"/>
        </w:rPr>
        <w:t>大力发展</w:t>
      </w: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生物产业</w:t>
      </w:r>
      <w:r>
        <w:rPr>
          <w:rFonts w:hint="eastAsia" w:ascii="仿宋" w:hAnsi="仿宋" w:eastAsia="仿宋" w:cs="仿宋"/>
          <w:b/>
          <w:bCs/>
          <w:color w:val="000000" w:themeColor="text1"/>
          <w:kern w:val="2"/>
          <w:sz w:val="32"/>
          <w:szCs w:val="32"/>
          <w:highlight w:val="none"/>
          <w:lang w:val="en-US" w:eastAsia="zh" w:bidi="ar"/>
          <w14:textFill>
            <w14:solidFill>
              <w14:schemeClr w14:val="tx1"/>
            </w14:solidFill>
          </w14:textFill>
          <w:woUserID w:val="3"/>
        </w:rPr>
        <w:t>。</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推进恺乐农药、兴宇生物等化工企业做大做强，加快北方寒地微生物应用研究中心项目建设，积极开发微生物农药等新型绿色农药产品，进一步扩大广谱、低毒、无污染、无残留新型生物农药产品的研发和生产经营。延伸和构建玉米等农产品多元化加工产业链，重点发展生物醇等生物基化工原材料，开发低聚糖、糖醇等糖工程产品。加快新产品新技术引进和研发，推进生物肽、胶原蛋白等生物制品产业化。</w:t>
      </w:r>
    </w:p>
    <w:p w14:paraId="5FFF7CFC">
      <w:pPr>
        <w:pageBreakBefore w:val="0"/>
        <w:widowControl w:val="0"/>
        <w:kinsoku/>
        <w:wordWrap/>
        <w:topLinePunct w:val="0"/>
        <w:autoSpaceDN/>
        <w:bidi w:val="0"/>
        <w:snapToGrid w:val="0"/>
        <w:spacing w:beforeAutospacing="0" w:afterAutospacing="0" w:line="600" w:lineRule="exact"/>
        <w:ind w:left="0" w:firstLine="643" w:firstLineChars="200"/>
        <w:jc w:val="both"/>
        <w:rPr>
          <w:rFonts w:hint="eastAsia" w:ascii="仿宋" w:hAnsi="仿宋" w:eastAsia="仿宋" w:cs="仿宋"/>
          <w:b w:val="0"/>
          <w:bCs/>
          <w:color w:val="000000" w:themeColor="text1"/>
          <w:kern w:val="2"/>
          <w:sz w:val="32"/>
          <w:szCs w:val="32"/>
          <w:highlight w:val="none"/>
          <w14:textFill>
            <w14:solidFill>
              <w14:schemeClr w14:val="tx1"/>
            </w14:solidFill>
          </w14:textFill>
          <w:woUserID w:val="3"/>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3"/>
        </w:rPr>
        <w:t xml:space="preserve">第二节 </w:t>
      </w:r>
      <w:r>
        <w:rPr>
          <w:rFonts w:hint="eastAsia" w:ascii="仿宋" w:hAnsi="仿宋" w:eastAsia="仿宋" w:cs="仿宋"/>
          <w:b/>
          <w:bCs/>
          <w:color w:val="000000" w:themeColor="text1"/>
          <w:kern w:val="2"/>
          <w:sz w:val="32"/>
          <w:szCs w:val="32"/>
          <w:highlight w:val="none"/>
          <w:lang w:eastAsia="zh" w:bidi="ar"/>
          <w14:textFill>
            <w14:solidFill>
              <w14:schemeClr w14:val="tx1"/>
            </w14:solidFill>
          </w14:textFill>
          <w:woUserID w:val="3"/>
        </w:rPr>
        <w:t>多元发展新能源产业。</w:t>
      </w:r>
      <w:r>
        <w:rPr>
          <w:rFonts w:hint="eastAsia" w:ascii="仿宋" w:hAnsi="仿宋" w:eastAsia="仿宋" w:cs="仿宋"/>
          <w:b w:val="0"/>
          <w:bCs/>
          <w:color w:val="000000" w:themeColor="text1"/>
          <w:kern w:val="2"/>
          <w:sz w:val="32"/>
          <w:szCs w:val="32"/>
          <w:highlight w:val="none"/>
          <w14:textFill>
            <w14:solidFill>
              <w14:schemeClr w14:val="tx1"/>
            </w14:solidFill>
          </w14:textFill>
          <w:woUserID w:val="3"/>
        </w:rPr>
        <w:t>以生物质能源、新能源装备及技术应用等为方向，推进新能源产业多元化发展。以秸秆资源量和收储半径为基础，谋划实施一批秸秆收储、秸秆压块、秸秆气化等于一体的秸秆综合利用项目。以太阳能发电、生物质发电等企业为重点，加快新能源关键材料的开发、引进与创新，尽快实现技术突破和产业化。支持风电、太阳能所需关键材料及储能设施产业化，包括多晶硅材料、光伏原辅材料、风能塔筒替代产品等的开发。积极发展太阳能真空集热管，推动太阳能光热利用。</w:t>
      </w:r>
    </w:p>
    <w:tbl>
      <w:tblPr>
        <w:tblStyle w:val="1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6"/>
      </w:tblGrid>
      <w:tr w14:paraId="35FF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Borders>
              <w:top w:val="single" w:color="auto" w:sz="4" w:space="0"/>
              <w:left w:val="single" w:color="auto" w:sz="4" w:space="0"/>
              <w:bottom w:val="single" w:color="auto" w:sz="4" w:space="0"/>
              <w:right w:val="single" w:color="auto" w:sz="4" w:space="0"/>
            </w:tcBorders>
          </w:tcPr>
          <w:p w14:paraId="35FF8B50">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专栏</w:t>
            </w:r>
            <w:r>
              <w:rPr>
                <w:rFonts w:hint="eastAsia" w:eastAsia="微软雅黑" w:cs="Times New Roman"/>
                <w:color w:val="000000" w:themeColor="text1"/>
                <w:sz w:val="24"/>
                <w:szCs w:val="24"/>
                <w:highlight w:val="none"/>
                <w:lang w:val="en-US" w:eastAsia="zh-CN" w:bidi="ar"/>
                <w14:textFill>
                  <w14:solidFill>
                    <w14:schemeClr w14:val="tx1"/>
                  </w14:solidFill>
                </w14:textFill>
              </w:rPr>
              <w:t>4</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3"/>
              </w:rPr>
              <w:t>-4</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 xml:space="preserve">   东风区</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3"/>
              </w:rPr>
              <w:t>新兴产业和未来产业发展方向及重点项目</w:t>
            </w:r>
          </w:p>
        </w:tc>
      </w:tr>
      <w:tr w14:paraId="35FF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14:paraId="19AC7497">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生物产业。</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谋划发展生物产业，重点推进生物发酵饲料建设项目、微生物农药研发生产项目。</w:t>
            </w:r>
          </w:p>
          <w:p w14:paraId="60FA1A76">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新能源产业。</w:t>
            </w:r>
            <w:r>
              <w:rPr>
                <w:rFonts w:hint="default" w:ascii="Times New Roman" w:hAnsi="Times New Roman" w:cs="Times New Roman"/>
                <w:color w:val="000000" w:themeColor="text1"/>
                <w:sz w:val="24"/>
                <w:szCs w:val="24"/>
                <w:highlight w:val="none"/>
                <w:lang w:bidi="ar"/>
                <w14:textFill>
                  <w14:solidFill>
                    <w14:schemeClr w14:val="tx1"/>
                  </w14:solidFill>
                </w14:textFill>
                <w:woUserID w:val="3"/>
              </w:rPr>
              <w:t>以生物质能源、新能源装备及技术应用等为方向，推进新能源产业多元化发展</w:t>
            </w:r>
            <w:r>
              <w:rPr>
                <w:rFonts w:hint="default" w:ascii="Times New Roman" w:hAnsi="Times New Roman" w:cs="Times New Roman"/>
                <w:color w:val="000000" w:themeColor="text1"/>
                <w:sz w:val="24"/>
                <w:szCs w:val="24"/>
                <w:highlight w:val="none"/>
                <w:lang w:eastAsia="zh" w:bidi="ar"/>
                <w14:textFill>
                  <w14:solidFill>
                    <w14:schemeClr w14:val="tx1"/>
                  </w14:solidFill>
                </w14:textFill>
                <w:woUserID w:val="3"/>
              </w:rPr>
              <w:t>，</w:t>
            </w:r>
            <w:r>
              <w:rPr>
                <w:rFonts w:hint="default" w:ascii="Times New Roman" w:hAnsi="Times New Roman" w:cs="Times New Roman"/>
                <w:color w:val="000000" w:themeColor="text1"/>
                <w:sz w:val="24"/>
                <w:szCs w:val="24"/>
                <w:highlight w:val="none"/>
                <w:lang w:bidi="ar"/>
                <w14:textFill>
                  <w14:solidFill>
                    <w14:schemeClr w14:val="tx1"/>
                  </w14:solidFill>
                </w14:textFill>
              </w:rPr>
              <w:t>重点实施零碳社区一体化产业创新项目</w:t>
            </w:r>
            <w:r>
              <w:rPr>
                <w:rFonts w:hint="default" w:ascii="Times New Roman" w:hAnsi="Times New Roman" w:cs="Times New Roman"/>
                <w:color w:val="000000" w:themeColor="text1"/>
                <w:sz w:val="24"/>
                <w:szCs w:val="24"/>
                <w:highlight w:val="none"/>
                <w:lang w:eastAsia="zh" w:bidi="ar"/>
                <w14:textFill>
                  <w14:solidFill>
                    <w14:schemeClr w14:val="tx1"/>
                  </w14:solidFill>
                </w14:textFill>
                <w:woUserID w:val="3"/>
              </w:rPr>
              <w:t>、</w:t>
            </w:r>
            <w:r>
              <w:rPr>
                <w:rFonts w:hint="eastAsia" w:cs="Times New Roman"/>
                <w:color w:val="000000" w:themeColor="text1"/>
                <w:sz w:val="24"/>
                <w:szCs w:val="24"/>
                <w:highlight w:val="none"/>
                <w:lang w:val="en-US" w:eastAsia="zh-CN" w:bidi="ar"/>
                <w14:textFill>
                  <w14:solidFill>
                    <w14:schemeClr w14:val="tx1"/>
                  </w14:solidFill>
                </w14:textFill>
                <w:woUserID w:val="3"/>
              </w:rPr>
              <w:t>电网侧共享</w:t>
            </w:r>
            <w:r>
              <w:rPr>
                <w:rFonts w:hint="default" w:ascii="Times New Roman" w:hAnsi="Times New Roman" w:cs="Times New Roman"/>
                <w:color w:val="000000" w:themeColor="text1"/>
                <w:sz w:val="24"/>
                <w:szCs w:val="24"/>
                <w:highlight w:val="none"/>
                <w:lang w:eastAsia="zh" w:bidi="ar"/>
                <w14:textFill>
                  <w14:solidFill>
                    <w14:schemeClr w14:val="tx1"/>
                  </w14:solidFill>
                </w14:textFill>
                <w:woUserID w:val="3"/>
              </w:rPr>
              <w:t>储能电站项目</w:t>
            </w:r>
            <w:r>
              <w:rPr>
                <w:rFonts w:hint="default" w:ascii="Times New Roman" w:hAnsi="Times New Roman" w:cs="Times New Roman"/>
                <w:color w:val="000000" w:themeColor="text1"/>
                <w:sz w:val="24"/>
                <w:szCs w:val="24"/>
                <w:highlight w:val="none"/>
                <w:lang w:bidi="ar"/>
                <w14:textFill>
                  <w14:solidFill>
                    <w14:schemeClr w14:val="tx1"/>
                  </w14:solidFill>
                </w14:textFill>
              </w:rPr>
              <w:t>。</w:t>
            </w:r>
          </w:p>
        </w:tc>
      </w:tr>
    </w:tbl>
    <w:p w14:paraId="5C402E2F">
      <w:pPr>
        <w:pStyle w:val="3"/>
        <w:keepNext w:val="0"/>
        <w:keepLines w:val="0"/>
        <w:pageBreakBefore w:val="0"/>
        <w:widowControl w:val="0"/>
        <w:numPr>
          <w:ilvl w:val="0"/>
          <w:numId w:val="0"/>
        </w:numPr>
        <w:kinsoku/>
        <w:wordWrap/>
        <w:topLinePunct w:val="0"/>
        <w:autoSpaceDN/>
        <w:bidi w:val="0"/>
        <w:snapToGrid w:val="0"/>
        <w:spacing w:beforeAutospacing="0" w:afterAutospacing="0" w:line="600" w:lineRule="exact"/>
        <w:jc w:val="center"/>
        <w:rPr>
          <w:rFonts w:hint="default"/>
        </w:rPr>
      </w:pPr>
      <w:bookmarkStart w:id="24" w:name="_Toc14344"/>
      <w:r>
        <w:rPr>
          <w:rFonts w:hint="eastAsia" w:eastAsia="楷体" w:cs="Times New Roman"/>
          <w:b/>
          <w:bCs/>
          <w:color w:val="000000" w:themeColor="text1"/>
          <w:kern w:val="2"/>
          <w:sz w:val="32"/>
          <w:szCs w:val="32"/>
          <w:highlight w:val="none"/>
          <w:lang w:val="en-US" w:eastAsia="zh-CN"/>
          <w14:textFill>
            <w14:solidFill>
              <w14:schemeClr w14:val="tx1"/>
            </w14:solidFill>
          </w14:textFill>
          <w:woUserID w:val="3"/>
        </w:rPr>
        <w:t>第十五章</w:t>
      </w:r>
      <w:r>
        <w:rPr>
          <w:rFonts w:hint="default" w:ascii="Times New Roman" w:hAnsi="Times New Roman" w:eastAsia="楷体" w:cs="Times New Roman"/>
          <w:b/>
          <w:bCs/>
          <w:color w:val="000000" w:themeColor="text1"/>
          <w:kern w:val="2"/>
          <w:sz w:val="32"/>
          <w:szCs w:val="32"/>
          <w:highlight w:val="none"/>
          <w:lang w:eastAsia="zh"/>
          <w14:textFill>
            <w14:solidFill>
              <w14:schemeClr w14:val="tx1"/>
            </w14:solidFill>
          </w14:textFill>
          <w:woUserID w:val="3"/>
        </w:rPr>
        <w:t xml:space="preserve"> </w:t>
      </w:r>
      <w:r>
        <w:rPr>
          <w:rFonts w:hint="default" w:ascii="Times New Roman" w:hAnsi="Times New Roman" w:eastAsia="楷体" w:cs="Times New Roman"/>
          <w:b/>
          <w:bCs/>
          <w:color w:val="000000" w:themeColor="text1"/>
          <w:kern w:val="2"/>
          <w:sz w:val="32"/>
          <w:szCs w:val="32"/>
          <w:highlight w:val="none"/>
          <w14:textFill>
            <w14:solidFill>
              <w14:schemeClr w14:val="tx1"/>
            </w14:solidFill>
          </w14:textFill>
          <w:woUserID w:val="3"/>
        </w:rPr>
        <w:t>扩能提质现代服务业</w:t>
      </w:r>
      <w:bookmarkEnd w:id="24"/>
    </w:p>
    <w:p w14:paraId="73F7D266">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推动生产性服务业向专业化和价值链高端延伸，生活性服务业向精细化和高品质转变</w:t>
      </w:r>
      <w:r>
        <w:rPr>
          <w:rFonts w:hint="eastAsia" w:ascii="仿宋" w:hAnsi="仿宋" w:eastAsia="仿宋" w:cs="仿宋"/>
          <w:color w:val="000000" w:themeColor="text1"/>
          <w:highlight w:val="none"/>
          <w:lang w:eastAsia="zh"/>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构建优质高效、布局优化的现代服务业新体系。</w:t>
      </w:r>
    </w:p>
    <w:p w14:paraId="7868E5AE">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lang w:eastAsia="zh"/>
          <w14:textFill>
            <w14:solidFill>
              <w14:schemeClr w14:val="tx1"/>
            </w14:solidFill>
          </w14:textFill>
        </w:rPr>
        <w:t>发展现代金融等生产</w:t>
      </w:r>
      <w:r>
        <w:rPr>
          <w:rFonts w:hint="eastAsia" w:ascii="仿宋" w:hAnsi="仿宋" w:eastAsia="仿宋" w:cs="仿宋"/>
          <w:b/>
          <w:bCs/>
          <w:color w:val="000000" w:themeColor="text1"/>
          <w:highlight w:val="none"/>
          <w:lang w:val="en-US" w:eastAsia="zh-CN"/>
          <w14:textFill>
            <w14:solidFill>
              <w14:schemeClr w14:val="tx1"/>
            </w14:solidFill>
          </w14:textFill>
        </w:rPr>
        <w:t>性</w:t>
      </w:r>
      <w:r>
        <w:rPr>
          <w:rFonts w:hint="eastAsia" w:ascii="仿宋" w:hAnsi="仿宋" w:eastAsia="仿宋" w:cs="仿宋"/>
          <w:b/>
          <w:bCs/>
          <w:color w:val="000000" w:themeColor="text1"/>
          <w:highlight w:val="none"/>
          <w:lang w:eastAsia="zh"/>
          <w14:textFill>
            <w14:solidFill>
              <w14:schemeClr w14:val="tx1"/>
            </w14:solidFill>
          </w14:textFill>
        </w:rPr>
        <w:t>服务业。</w:t>
      </w:r>
      <w:r>
        <w:rPr>
          <w:rFonts w:hint="eastAsia" w:ascii="仿宋" w:hAnsi="仿宋" w:eastAsia="仿宋" w:cs="仿宋"/>
          <w:color w:val="000000" w:themeColor="text1"/>
          <w:highlight w:val="none"/>
          <w14:textFill>
            <w14:solidFill>
              <w14:schemeClr w14:val="tx1"/>
            </w14:solidFill>
          </w14:textFill>
        </w:rPr>
        <w:t>完善多层次融资体系，积极引进银行、期货、保险等各类金融机构，加快引进各类法人金融机构，鼓励发展产业金融机构，构建以融资租赁、融资担保、创业投资等为重点的产业金融服务体系。深化“政银企”常态化对接机制，定期举办重点产业链、重大项目、专精特新企业专场融资洽谈会，推动信贷资源向智能制造、高新技术和先进制造业集群倾斜。鼓励银行机构创新知识产权质押、供应链金融、订单融资等产品。积极对接多层次资本市场，建立完善区级上市后备企业资源库，提供全流程辅导，力争推动符合条件的优质企业进入上市辅导或申报程序。</w:t>
      </w:r>
    </w:p>
    <w:p w14:paraId="18858ACF">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lang w:eastAsia="zh"/>
          <w14:textFill>
            <w14:solidFill>
              <w14:schemeClr w14:val="tx1"/>
            </w14:solidFill>
          </w14:textFill>
        </w:rPr>
        <w:t>完善医疗康养等生活性服务业。</w:t>
      </w:r>
      <w:r>
        <w:rPr>
          <w:rFonts w:hint="eastAsia" w:ascii="仿宋" w:hAnsi="仿宋" w:eastAsia="仿宋" w:cs="仿宋"/>
          <w:color w:val="000000" w:themeColor="text1"/>
          <w:highlight w:val="none"/>
          <w14:textFill>
            <w14:solidFill>
              <w14:schemeClr w14:val="tx1"/>
            </w14:solidFill>
          </w14:textFill>
        </w:rPr>
        <w:t>推进居家和社区养老服务设施建设，积极发展中医康养、田园康养等，提高旅居养老水平和接待能力。增强医养结合服务功能，建设以中医药健康养老为主的护理院、疗养院。培育壮大健康养老产业市场主体，积极探索健康养老、智慧养老等养老产业发展新模式，加快推进东风区高端养生养老</w:t>
      </w:r>
      <w:r>
        <w:rPr>
          <w:rFonts w:hint="eastAsia" w:ascii="仿宋" w:hAnsi="仿宋" w:eastAsia="仿宋" w:cs="仿宋"/>
          <w:color w:val="000000" w:themeColor="text1"/>
          <w:highlight w:val="none"/>
          <w:lang w:val="en-US" w:eastAsia="zh-CN"/>
          <w14:textFill>
            <w14:solidFill>
              <w14:schemeClr w14:val="tx1"/>
            </w14:solidFill>
          </w14:textFill>
        </w:rPr>
        <w:t>项目</w:t>
      </w:r>
      <w:r>
        <w:rPr>
          <w:rFonts w:hint="eastAsia" w:ascii="仿宋" w:hAnsi="仿宋" w:eastAsia="仿宋" w:cs="仿宋"/>
          <w:color w:val="000000" w:themeColor="text1"/>
          <w:highlight w:val="none"/>
          <w14:textFill>
            <w14:solidFill>
              <w14:schemeClr w14:val="tx1"/>
            </w14:solidFill>
          </w14:textFill>
        </w:rPr>
        <w:t>建设，努力把东风区建设成佳木斯医疗康养产业新增长极。</w:t>
      </w:r>
    </w:p>
    <w:tbl>
      <w:tblPr>
        <w:tblStyle w:val="1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6"/>
      </w:tblGrid>
      <w:tr w14:paraId="7545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Borders>
              <w:top w:val="single" w:color="auto" w:sz="4" w:space="0"/>
              <w:left w:val="single" w:color="auto" w:sz="4" w:space="0"/>
              <w:bottom w:val="single" w:color="auto" w:sz="4" w:space="0"/>
              <w:right w:val="single" w:color="auto" w:sz="4" w:space="0"/>
            </w:tcBorders>
          </w:tcPr>
          <w:p w14:paraId="64E17453">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woUserID w:val="3"/>
              </w:rPr>
            </w:pP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woUserID w:val="3"/>
              </w:rPr>
              <w:t>专栏</w:t>
            </w:r>
            <w:r>
              <w:rPr>
                <w:rFonts w:hint="eastAsia" w:eastAsia="微软雅黑" w:cs="Times New Roman"/>
                <w:color w:val="000000" w:themeColor="text1"/>
                <w:sz w:val="24"/>
                <w:szCs w:val="24"/>
                <w:highlight w:val="none"/>
                <w:lang w:val="en-US" w:eastAsia="zh-CN" w:bidi="ar"/>
                <w14:textFill>
                  <w14:solidFill>
                    <w14:schemeClr w14:val="tx1"/>
                  </w14:solidFill>
                </w14:textFill>
                <w:woUserID w:val="3"/>
              </w:rPr>
              <w:t>4</w:t>
            </w:r>
            <w:r>
              <w:rPr>
                <w:rFonts w:hint="default" w:ascii="Times New Roman" w:hAnsi="Times New Roman" w:eastAsia="微软雅黑" w:cs="Times New Roman"/>
                <w:color w:val="000000" w:themeColor="text1"/>
                <w:sz w:val="24"/>
                <w:szCs w:val="24"/>
                <w:highlight w:val="none"/>
                <w:lang w:val="en-US" w:eastAsia="zh-CN" w:bidi="ar"/>
                <w14:textFill>
                  <w14:solidFill>
                    <w14:schemeClr w14:val="tx1"/>
                  </w14:solidFill>
                </w14:textFill>
                <w:woUserID w:val="3"/>
              </w:rPr>
              <w:t>-5</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woUserID w:val="3"/>
              </w:rPr>
              <w:t xml:space="preserve">   东风区</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3"/>
              </w:rPr>
              <w:t>现代服务业重点项目</w:t>
            </w:r>
          </w:p>
        </w:tc>
      </w:tr>
      <w:tr w14:paraId="7480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14:paraId="69E3E322">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现代物流。</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以佳木斯市国际港、智慧物流港为核心，集成电商、仓储、运输功能，打造数字生态圈。同步建设汇源智慧冷链、双合路冷链仓储、生鲜冷链物流、对俄外贸基地等项目，形成覆盖粮食、医药、生鲜的规模化冷链仓储与供应链网络，强化区域物流枢纽功能。</w:t>
            </w:r>
          </w:p>
          <w:p w14:paraId="0D288E69">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医疗康养。</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依托格瑞特医药物流、齐辰医药标准厂房、医洗消毒中心、医学检验试剂配送中心、健康体检中心等项目，完善从医药生产、仓储配送到医疗支持服务的产业链条，提升专业化服务能力。</w:t>
            </w:r>
          </w:p>
          <w:p w14:paraId="38CDD4B9">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color w:val="000000" w:themeColor="text1"/>
                <w:sz w:val="24"/>
                <w:szCs w:val="24"/>
                <w:highlight w:val="none"/>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民生服务与全龄配套。</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构建“一老一小”服务网络，通过中心敬老院、三级</w:t>
            </w:r>
            <w:r>
              <w:rPr>
                <w:rFonts w:hint="eastAsia" w:cs="Times New Roman"/>
                <w:b w:val="0"/>
                <w:bCs w:val="0"/>
                <w:color w:val="000000" w:themeColor="text1"/>
                <w:sz w:val="24"/>
                <w:szCs w:val="24"/>
                <w:highlight w:val="none"/>
                <w:lang w:val="en-US" w:eastAsia="zh-CN" w:bidi="ar"/>
                <w14:textFill>
                  <w14:solidFill>
                    <w14:schemeClr w14:val="tx1"/>
                  </w14:solidFill>
                </w14:textFill>
                <w:woUserID w:val="3"/>
              </w:rPr>
              <w:t>城乡</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养老</w:t>
            </w:r>
            <w:r>
              <w:rPr>
                <w:rFonts w:hint="eastAsia" w:cs="Times New Roman"/>
                <w:b w:val="0"/>
                <w:bCs w:val="0"/>
                <w:color w:val="000000" w:themeColor="text1"/>
                <w:sz w:val="24"/>
                <w:szCs w:val="24"/>
                <w:highlight w:val="none"/>
                <w:lang w:val="en-US" w:eastAsia="zh-CN" w:bidi="ar"/>
                <w14:textFill>
                  <w14:solidFill>
                    <w14:schemeClr w14:val="tx1"/>
                  </w14:solidFill>
                </w14:textFill>
                <w:woUserID w:val="3"/>
              </w:rPr>
              <w:t>服务网络</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、适老化家居改造项目完善养老服务。</w:t>
            </w:r>
          </w:p>
        </w:tc>
      </w:tr>
    </w:tbl>
    <w:p w14:paraId="31C1299D">
      <w:pPr>
        <w:pStyle w:val="3"/>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default" w:ascii="Times New Roman" w:hAnsi="Times New Roman" w:eastAsia="楷体" w:cs="Times New Roman"/>
          <w:bCs/>
          <w:color w:val="000000" w:themeColor="text1"/>
          <w:highlight w:val="none"/>
          <w:lang w:eastAsia="zh"/>
          <w14:textFill>
            <w14:solidFill>
              <w14:schemeClr w14:val="tx1"/>
            </w14:solidFill>
          </w14:textFill>
          <w:woUserID w:val="3"/>
        </w:rPr>
      </w:pPr>
      <w:bookmarkStart w:id="25" w:name="_Toc31386"/>
      <w:r>
        <w:rPr>
          <w:rFonts w:hint="default" w:ascii="Times New Roman" w:hAnsi="Times New Roman" w:eastAsia="楷体" w:cs="Times New Roman"/>
          <w:bCs/>
          <w:color w:val="000000" w:themeColor="text1"/>
          <w:highlight w:val="none"/>
          <w:lang w:eastAsia="zh"/>
          <w14:textFill>
            <w14:solidFill>
              <w14:schemeClr w14:val="tx1"/>
            </w14:solidFill>
          </w14:textFill>
          <w:woUserID w:val="3"/>
        </w:rPr>
        <w:t>第十</w:t>
      </w:r>
      <w:r>
        <w:rPr>
          <w:rFonts w:hint="default" w:ascii="Times New Roman" w:hAnsi="Times New Roman" w:eastAsia="楷体" w:cs="Times New Roman"/>
          <w:bCs/>
          <w:color w:val="000000" w:themeColor="text1"/>
          <w:highlight w:val="none"/>
          <w:lang w:val="en-US" w:eastAsia="zh-CN"/>
          <w14:textFill>
            <w14:solidFill>
              <w14:schemeClr w14:val="tx1"/>
            </w14:solidFill>
          </w14:textFill>
          <w:woUserID w:val="3"/>
        </w:rPr>
        <w:t>六</w:t>
      </w:r>
      <w:r>
        <w:rPr>
          <w:rFonts w:hint="default" w:ascii="Times New Roman" w:hAnsi="Times New Roman" w:eastAsia="楷体" w:cs="Times New Roman"/>
          <w:bCs/>
          <w:color w:val="000000" w:themeColor="text1"/>
          <w:highlight w:val="none"/>
          <w:lang w:eastAsia="zh"/>
          <w14:textFill>
            <w14:solidFill>
              <w14:schemeClr w14:val="tx1"/>
            </w14:solidFill>
          </w14:textFill>
          <w:woUserID w:val="3"/>
        </w:rPr>
        <w:t>章 培育经济发展新引擎</w:t>
      </w:r>
      <w:bookmarkEnd w:id="25"/>
    </w:p>
    <w:p w14:paraId="0F6BE40F">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640"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3"/>
        </w:rPr>
      </w:pP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3"/>
        </w:rPr>
        <w:t>加快发展数字经济，推进数字产业化，培育数字经济创新型企业，促进数字经济和实体经济深度融合，加快人工智能等数智技术创新，培育人工智能企业。实施“人工智能+”行动，开展人工智能全社会通识教育，促进人工智能同科技创新、产业发展、文化建设、民生保障、社会治理等相结合。加快发展生物经济，依托本地生物医药基础及农业资源优势，重点发展生物医药、生物农业、生物制造等产业，推动生物技术、产业、服务一体发展。加快发展冰雪经济，构建冰雪运动、冰雪文化、冰雪装备、冰雪旅游全产业链发展模式，优化冰雪运动设施布局，发展群众冰雪运动，培育稳定消费人群。加快发展创意设计产业，实施创意设计赋能行动，促进创意设计与装备制造、现代农业、文化旅游等产业深度融合，推动创意设计理念、方法、业态创新。</w:t>
      </w:r>
    </w:p>
    <w:tbl>
      <w:tblPr>
        <w:tblStyle w:val="1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6"/>
      </w:tblGrid>
      <w:tr w14:paraId="7EEF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14:paraId="4EC812C2">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woUserID w:val="3"/>
              </w:rPr>
            </w:pP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woUserID w:val="3"/>
              </w:rPr>
              <w:t>专栏</w:t>
            </w:r>
            <w:r>
              <w:rPr>
                <w:rFonts w:hint="eastAsia" w:eastAsia="微软雅黑" w:cs="Times New Roman"/>
                <w:color w:val="000000" w:themeColor="text1"/>
                <w:sz w:val="24"/>
                <w:szCs w:val="24"/>
                <w:highlight w:val="none"/>
                <w:lang w:val="en-US" w:eastAsia="zh-CN" w:bidi="ar"/>
                <w14:textFill>
                  <w14:solidFill>
                    <w14:schemeClr w14:val="tx1"/>
                  </w14:solidFill>
                </w14:textFill>
                <w:woUserID w:val="3"/>
              </w:rPr>
              <w:t>4</w:t>
            </w:r>
            <w:r>
              <w:rPr>
                <w:rFonts w:hint="default" w:ascii="Times New Roman" w:hAnsi="Times New Roman" w:eastAsia="微软雅黑" w:cs="Times New Roman"/>
                <w:color w:val="000000" w:themeColor="text1"/>
                <w:sz w:val="24"/>
                <w:szCs w:val="24"/>
                <w:highlight w:val="none"/>
                <w:lang w:val="en-US" w:eastAsia="zh-CN" w:bidi="ar"/>
                <w14:textFill>
                  <w14:solidFill>
                    <w14:schemeClr w14:val="tx1"/>
                  </w14:solidFill>
                </w14:textFill>
                <w:woUserID w:val="3"/>
              </w:rPr>
              <w:t>-6</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woUserID w:val="3"/>
              </w:rPr>
              <w:t xml:space="preserve">  东风区</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3"/>
              </w:rPr>
              <w:t>数字经济发展新引擎重点项目</w:t>
            </w:r>
          </w:p>
        </w:tc>
      </w:tr>
      <w:tr w14:paraId="565C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14:paraId="08543282">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数字经济。</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集成数据存储、超算、交易与云服务功能，为全区政务、农业、城市管理提供统一的算力支撑与数据分析能力，激活数据资产价值。重点建设卫星应用大数据中心、大禹智能云及大数据应用服务平台三大核心枢纽等项目。</w:t>
            </w:r>
          </w:p>
          <w:p w14:paraId="48521117">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智慧农业与产业数字化。</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推动现代农业与数字技术深度融合，构建“生产-科研-加工-销售”一体化的智慧农业生态。以水稻无人化智慧农场为应用标杆，重点推进北方寒地粳稻公共科研平台进行技术研发与数据监测、农产品电商产业及智能云仓物流项目。</w:t>
            </w:r>
          </w:p>
          <w:p w14:paraId="45FD41FC">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智慧城市治理与民生服务。</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以智慧城市项目为统领，融合智慧停车、数字平台等专项应用，提升城市运行效率与公共安全水平。同步发展智慧百货仓储超市等新零售业态，优化民生服务体验。</w:t>
            </w:r>
          </w:p>
          <w:p w14:paraId="615841BF">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600" w:lineRule="exact"/>
              <w:ind w:left="0" w:right="0" w:firstLine="422"/>
              <w:jc w:val="both"/>
              <w:rPr>
                <w:rFonts w:hint="default" w:ascii="Times New Roman" w:hAnsi="Times New Roman" w:cs="Times New Roman"/>
                <w:color w:val="000000" w:themeColor="text1"/>
                <w:sz w:val="24"/>
                <w:szCs w:val="24"/>
                <w:highlight w:val="none"/>
                <w14:textFill>
                  <w14:solidFill>
                    <w14:schemeClr w14:val="tx1"/>
                  </w14:solidFill>
                </w14:textFill>
                <w:woUserID w:val="3"/>
              </w:rPr>
            </w:pPr>
            <w:r>
              <w:rPr>
                <w:rFonts w:hint="default" w:ascii="Times New Roman" w:hAnsi="Times New Roman" w:cs="Times New Roman"/>
                <w:b/>
                <w:bCs/>
                <w:color w:val="000000" w:themeColor="text1"/>
                <w:sz w:val="24"/>
                <w:szCs w:val="24"/>
                <w:highlight w:val="none"/>
                <w:lang w:eastAsia="zh" w:bidi="ar"/>
                <w14:textFill>
                  <w14:solidFill>
                    <w14:schemeClr w14:val="tx1"/>
                  </w14:solidFill>
                </w14:textFill>
                <w:woUserID w:val="3"/>
              </w:rPr>
              <w:t>低空经济与航天文旅新业态。</w:t>
            </w:r>
            <w:r>
              <w:rPr>
                <w:rFonts w:hint="default" w:ascii="Times New Roman" w:hAnsi="Times New Roman" w:cs="Times New Roman"/>
                <w:b w:val="0"/>
                <w:bCs w:val="0"/>
                <w:color w:val="000000" w:themeColor="text1"/>
                <w:sz w:val="24"/>
                <w:szCs w:val="24"/>
                <w:highlight w:val="none"/>
                <w:lang w:eastAsia="zh" w:bidi="ar"/>
                <w14:textFill>
                  <w14:solidFill>
                    <w14:schemeClr w14:val="tx1"/>
                  </w14:solidFill>
                </w14:textFill>
                <w:woUserID w:val="3"/>
              </w:rPr>
              <w:t>建设低空经济产业集群及配套的低空安全管控平台，发展无人机产业与商业应用。融合科普与旅游，打造航天科技体验馆，并依托露营及冰雪营地丰富四季文旅产品，培育经济增长新动能。</w:t>
            </w:r>
          </w:p>
        </w:tc>
      </w:tr>
    </w:tbl>
    <w:p w14:paraId="35FF8B5F">
      <w:pPr>
        <w:pStyle w:val="2"/>
        <w:keepNext w:val="0"/>
        <w:keepLines w:val="0"/>
        <w:pageBreakBefore w:val="0"/>
        <w:widowControl w:val="0"/>
        <w:numPr>
          <w:ilvl w:val="0"/>
          <w:numId w:val="0"/>
        </w:numPr>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bookmarkStart w:id="26" w:name="_Toc19142"/>
      <w:r>
        <w:rPr>
          <w:rFonts w:hint="eastAsia" w:cs="Times New Roman"/>
          <w:color w:val="000000" w:themeColor="text1"/>
          <w:highlight w:val="none"/>
          <w:lang w:val="en-US" w:eastAsia="zh-CN"/>
          <w14:textFill>
            <w14:solidFill>
              <w14:schemeClr w14:val="tx1"/>
            </w14:solidFill>
          </w14:textFill>
          <w:woUserID w:val="1"/>
        </w:rPr>
        <w:t xml:space="preserve">第五篇 </w:t>
      </w:r>
      <w:r>
        <w:rPr>
          <w:rFonts w:hint="default" w:ascii="Times New Roman" w:hAnsi="Times New Roman" w:cs="Times New Roman"/>
          <w:color w:val="000000" w:themeColor="text1"/>
          <w:highlight w:val="none"/>
          <w:lang w:val="en-US" w:eastAsia="zh-CN"/>
          <w14:textFill>
            <w14:solidFill>
              <w14:schemeClr w14:val="tx1"/>
            </w14:solidFill>
          </w14:textFill>
          <w:woUserID w:val="1"/>
        </w:rPr>
        <w:t>以科技创新引领新质生产力发展，</w:t>
      </w:r>
      <w:r>
        <w:rPr>
          <w:rFonts w:hint="default" w:ascii="Times New Roman" w:hAnsi="Times New Roman" w:cs="Times New Roman"/>
          <w:color w:val="000000" w:themeColor="text1"/>
          <w:highlight w:val="none"/>
          <w:lang w:val="en-US" w:eastAsia="zh-CN"/>
          <w14:textFill>
            <w14:solidFill>
              <w14:schemeClr w14:val="tx1"/>
            </w14:solidFill>
          </w14:textFill>
        </w:rPr>
        <w:t>培育高质量振兴发展新动能</w:t>
      </w:r>
      <w:bookmarkEnd w:id="26"/>
    </w:p>
    <w:p w14:paraId="6CAB4839">
      <w:pPr>
        <w:pageBreakBefore w:val="0"/>
        <w:widowControl w:val="0"/>
        <w:numPr>
          <w:ilvl w:val="0"/>
          <w:numId w:val="0"/>
        </w:numPr>
        <w:kinsoku/>
        <w:wordWrap/>
        <w:topLinePunct w:val="0"/>
        <w:autoSpaceDN/>
        <w:bidi w:val="0"/>
        <w:snapToGrid w:val="0"/>
        <w:spacing w:beforeAutospacing="0" w:afterAutospacing="0" w:line="600" w:lineRule="exact"/>
        <w:ind w:firstLine="640" w:firstLineChars="200"/>
        <w:jc w:val="both"/>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将科技创新摆在发展全局的核心位置，以突破性技术和前沿性创新催生新产业、新模式、新动能，引领新质生产力加速形成，为东风区高质量发展注入强劲、持久的动力源泉</w:t>
      </w:r>
      <w:r>
        <w:rPr>
          <w:rFonts w:hint="eastAsia" w:ascii="仿宋" w:hAnsi="仿宋" w:eastAsia="仿宋" w:cs="仿宋"/>
          <w:color w:val="000000" w:themeColor="text1"/>
          <w:lang w:eastAsia="zh-CN"/>
          <w14:textFill>
            <w14:solidFill>
              <w14:schemeClr w14:val="tx1"/>
            </w14:solidFill>
          </w14:textFill>
        </w:rPr>
        <w:t>。</w:t>
      </w:r>
    </w:p>
    <w:p w14:paraId="5E7CB773">
      <w:pPr>
        <w:pStyle w:val="3"/>
        <w:keepNext w:val="0"/>
        <w:keepLines w:val="0"/>
        <w:pageBreakBefore w:val="0"/>
        <w:widowControl w:val="0"/>
        <w:numPr>
          <w:ilvl w:val="0"/>
          <w:numId w:val="0"/>
        </w:numPr>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27" w:name="_Toc28233"/>
      <w:r>
        <w:rPr>
          <w:rFonts w:hint="eastAsia" w:ascii="楷体" w:hAnsi="楷体" w:eastAsia="楷体" w:cs="楷体"/>
          <w:color w:val="000000" w:themeColor="text1"/>
          <w:highlight w:val="none"/>
          <w:lang w:val="en-US" w:eastAsia="zh-CN"/>
          <w14:textFill>
            <w14:solidFill>
              <w14:schemeClr w14:val="tx1"/>
            </w14:solidFill>
          </w14:textFill>
        </w:rPr>
        <w:t>第十七章 加快关键核心技术攻关</w:t>
      </w:r>
      <w:bookmarkEnd w:id="27"/>
    </w:p>
    <w:p w14:paraId="19FD282B">
      <w:pPr>
        <w:pageBreakBefore w:val="0"/>
        <w:widowControl w:val="0"/>
        <w:numPr>
          <w:ilvl w:val="0"/>
          <w:numId w:val="0"/>
        </w:numPr>
        <w:kinsoku/>
        <w:wordWrap/>
        <w:topLinePunct w:val="0"/>
        <w:autoSpaceDN/>
        <w:bidi w:val="0"/>
        <w:snapToGrid w:val="0"/>
        <w:spacing w:beforeAutospacing="0" w:afterAutospacing="0" w:line="600" w:lineRule="exact"/>
        <w:ind w:firstLine="640" w:firstLineChars="200"/>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将突破关键核心技术作为发展新质生产力的核心引擎与战略基点，聚焦产业链安全与竞争力提升，力争形成一批具有自主知识产权和核心竞争力的技术成果，抢占未来发展先机。</w:t>
      </w:r>
    </w:p>
    <w:p w14:paraId="024FEA1A">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强化企业创新主体地位</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。支持企业联合高校、科研院所组建产业技术创新联盟，联合开展技术攻关、产品研发、协同培养科技人才。积极落实企业研发费用加计扣除政策，加大政府采购自主创新产品力度</w:t>
      </w:r>
      <w:r>
        <w:rPr>
          <w:rFonts w:hint="eastAsia" w:ascii="仿宋" w:hAnsi="仿宋" w:eastAsia="仿宋" w:cs="仿宋"/>
          <w:color w:val="000000" w:themeColor="text1"/>
          <w:kern w:val="0"/>
          <w:sz w:val="32"/>
          <w:szCs w:val="32"/>
          <w:highlight w:val="none"/>
          <w:shd w:val="clear" w:fill="FFFFFF"/>
          <w:lang w:val="en-US" w:eastAsia="zh-CN" w:bidi="ar"/>
          <w14:textFill>
            <w14:solidFill>
              <w14:schemeClr w14:val="tx1"/>
            </w14:solidFill>
          </w14:textFill>
          <w:woUserID w:val="1"/>
        </w:rPr>
        <w:t>，鼓励企业建立研发准备金制度，扩大规模以上工业企业研发活动覆盖水平。实施更加积极、更加开放、更加有效的人才政策，完善科技奖励、收入分配、成果赋权等激励制度，鼓励各类科技创新人才在东风区就业创业，建立以创新能力、质量、实效、贡献为导向的评价体系。</w:t>
      </w:r>
    </w:p>
    <w:p w14:paraId="43674AA4">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推动核心技术攻关。</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t>实施科技赋能新质生产力行动，围绕我区重点产业技术攻关方向，布局建设“一平台、多中心、一张网”的科技创新服务网络。</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围绕重点产业技术攻关方向，滚动形成“东风区关键核心技术攻关清单”。积极承担国家、省、市重大科技任务，推动现代种业、智能装备、新材料、新能源、精细化工、低空经济管控平台及应用等领域关键核心技术攻关，创造更多有价值、能应用的创新成果。支持企业与科研院所合作，塑造有利于原创性、引领性创新的环境，构建涵盖技术研发、成果转化、产业应用和支撑生态体系的创新链条，产出更多标志性原始创新成果。</w:t>
      </w:r>
    </w:p>
    <w:p w14:paraId="419BC105">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28" w:name="_Toc29853"/>
      <w:r>
        <w:rPr>
          <w:rFonts w:hint="eastAsia" w:ascii="楷体" w:hAnsi="楷体" w:eastAsia="楷体" w:cs="楷体"/>
          <w:color w:val="000000" w:themeColor="text1"/>
          <w:highlight w:val="none"/>
          <w:lang w:eastAsia="zh"/>
          <w14:textFill>
            <w14:solidFill>
              <w14:schemeClr w14:val="tx1"/>
            </w14:solidFill>
          </w14:textFill>
          <w:woUserID w:val="1"/>
        </w:rPr>
        <w:t>第</w:t>
      </w:r>
      <w:r>
        <w:rPr>
          <w:rFonts w:hint="eastAsia" w:ascii="楷体" w:hAnsi="楷体" w:eastAsia="楷体" w:cs="楷体"/>
          <w:color w:val="000000" w:themeColor="text1"/>
          <w:highlight w:val="none"/>
          <w:lang w:eastAsia="zh"/>
          <w14:textFill>
            <w14:solidFill>
              <w14:schemeClr w14:val="tx1"/>
            </w14:solidFill>
          </w14:textFill>
          <w:woUserID w:val="3"/>
        </w:rPr>
        <w:t>十</w:t>
      </w:r>
      <w:r>
        <w:rPr>
          <w:rFonts w:hint="eastAsia" w:ascii="楷体" w:hAnsi="楷体" w:eastAsia="楷体" w:cs="楷体"/>
          <w:color w:val="000000" w:themeColor="text1"/>
          <w:highlight w:val="none"/>
          <w:lang w:val="en-US" w:eastAsia="zh-CN"/>
          <w14:textFill>
            <w14:solidFill>
              <w14:schemeClr w14:val="tx1"/>
            </w14:solidFill>
          </w14:textFill>
          <w:woUserID w:val="3"/>
        </w:rPr>
        <w:t>八</w:t>
      </w:r>
      <w:r>
        <w:rPr>
          <w:rFonts w:hint="eastAsia" w:ascii="楷体" w:hAnsi="楷体" w:eastAsia="楷体" w:cs="楷体"/>
          <w:color w:val="000000" w:themeColor="text1"/>
          <w:highlight w:val="none"/>
          <w:lang w:eastAsia="zh"/>
          <w14:textFill>
            <w14:solidFill>
              <w14:schemeClr w14:val="tx1"/>
            </w14:solidFill>
          </w14:textFill>
          <w:woUserID w:val="3"/>
        </w:rPr>
        <w:t>章</w:t>
      </w:r>
      <w:r>
        <w:rPr>
          <w:rFonts w:hint="eastAsia" w:ascii="楷体" w:hAnsi="楷体" w:eastAsia="楷体" w:cs="楷体"/>
          <w:color w:val="000000" w:themeColor="text1"/>
          <w:highlight w:val="none"/>
          <w:lang w:eastAsia="zh"/>
          <w14:textFill>
            <w14:solidFill>
              <w14:schemeClr w14:val="tx1"/>
            </w14:solidFill>
          </w14:textFill>
          <w:woUserID w:val="1"/>
        </w:rPr>
        <w:t xml:space="preserve"> </w:t>
      </w:r>
      <w:r>
        <w:rPr>
          <w:rFonts w:hint="eastAsia" w:ascii="楷体" w:hAnsi="楷体" w:eastAsia="楷体" w:cs="楷体"/>
          <w:color w:val="000000" w:themeColor="text1"/>
          <w:highlight w:val="none"/>
          <w:lang w:val="en-US" w:eastAsia="zh-CN"/>
          <w14:textFill>
            <w14:solidFill>
              <w14:schemeClr w14:val="tx1"/>
            </w14:solidFill>
          </w14:textFill>
        </w:rPr>
        <w:t>建设高能级创新平台</w:t>
      </w:r>
      <w:bookmarkEnd w:id="28"/>
    </w:p>
    <w:p w14:paraId="688A156E">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把构建战略科技力量作为首要任务，集中资源打造支撑关键技术攻关与产业孵化的核心载体，形成以国家级平台为引领、省级平台为骨干、企业平台为基础的创新平台体系，使其成为技术策源的“强引擎”和产业升级的“加速器”。</w:t>
      </w:r>
    </w:p>
    <w:p w14:paraId="5DF06060">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bCs/>
          <w:i w:val="0"/>
          <w:iCs w:val="0"/>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i w:val="0"/>
          <w:iCs w:val="0"/>
          <w:color w:val="000000" w:themeColor="text1"/>
          <w:kern w:val="2"/>
          <w:sz w:val="32"/>
          <w:szCs w:val="32"/>
          <w:highlight w:val="none"/>
          <w:lang w:val="en-US" w:eastAsia="zh-CN" w:bidi="ar"/>
          <w14:textFill>
            <w14:solidFill>
              <w14:schemeClr w14:val="tx1"/>
            </w14:solidFill>
          </w14:textFill>
          <w:woUserID w:val="1"/>
        </w:rPr>
        <w:t>第一节 推动平台提质扩容。</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系统推动现有省级工程技术研究中心、企业技术中心等平台提质扩容，积极对接国家级平台标准，重点在智能装备、生物科技、新材料等优势领域，遴选基础好、潜力大的平台进行重点培育，建立国家级平台“预备队”动态培育库。立足东风区产业禀赋，集中力量在智能掘进机关键技术、生物育种核心种源、大豆精深加工与营养功能产品研发等优势特色领域，谋划和争创国家重点实验室、国家技术创新中心、省级产业创新中心和制造业创新中心。</w:t>
      </w:r>
    </w:p>
    <w:p w14:paraId="5EBDB9A7">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延伸平台服务能力</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分领域、分阶段规划布局概念验证中心和中试验证基地。概念验证中心重点面向高校和科研院所的早期成果，提供技术可行性评估、原型制造、商业前景论证等服务。中试验证基地则聚焦于工艺放大、工程化开发和市场小批量试制，优先在生物制造、新材料、智能装备等领域建设专业化中试平台。积极对接和承担省级“揭榜挂帅”等重大科技项目，鼓励平台联合产业链上下游企业，共同攻克智能农机可靠性、生物发酵效率、大豆蛋白高值化利用等产业共性技术难题，提升平台对产业发展的直接支撑能力。</w:t>
      </w:r>
    </w:p>
    <w:p w14:paraId="126390F2">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促进平台开放共享</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深化与中国水稻研究所、省微生物研究所、哈工大、哈工程、佳木斯大学等大院大所合作，积极争取国家和省科技计划项目。高标准规划建设“环佳木斯职业学院创新创业生态圈”，以职业院校技能人才和实训资源为依托，打造“产学研用训”一体化的开放平台，促进产业需求、技术创新、资本要素与市场渠道的高效耦合。健全科技创新平台管理体制和运行机制，营造敢于冒险、宽容失败的创新文化，将东风区建设成为创新资源汇聚、成果持续涌现的产业催化策源地。</w:t>
      </w:r>
    </w:p>
    <w:p w14:paraId="58181BE1">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29" w:name="_Toc18489"/>
      <w:r>
        <w:rPr>
          <w:rFonts w:hint="eastAsia" w:ascii="楷体" w:hAnsi="楷体" w:eastAsia="楷体" w:cs="楷体"/>
          <w:color w:val="000000" w:themeColor="text1"/>
          <w:highlight w:val="none"/>
          <w:lang w:eastAsia="zh"/>
          <w14:textFill>
            <w14:solidFill>
              <w14:schemeClr w14:val="tx1"/>
            </w14:solidFill>
          </w14:textFill>
          <w:woUserID w:val="1"/>
        </w:rPr>
        <w:t>第</w:t>
      </w:r>
      <w:r>
        <w:rPr>
          <w:rFonts w:hint="eastAsia" w:ascii="楷体" w:hAnsi="楷体" w:eastAsia="楷体" w:cs="楷体"/>
          <w:color w:val="000000" w:themeColor="text1"/>
          <w:highlight w:val="none"/>
          <w:lang w:val="en-US" w:eastAsia="zh-CN"/>
          <w14:textFill>
            <w14:solidFill>
              <w14:schemeClr w14:val="tx1"/>
            </w14:solidFill>
          </w14:textFill>
          <w:woUserID w:val="3"/>
        </w:rPr>
        <w:t>十九</w:t>
      </w:r>
      <w:r>
        <w:rPr>
          <w:rFonts w:hint="eastAsia" w:ascii="楷体" w:hAnsi="楷体" w:eastAsia="楷体" w:cs="楷体"/>
          <w:color w:val="000000" w:themeColor="text1"/>
          <w:highlight w:val="none"/>
          <w:lang w:eastAsia="zh"/>
          <w14:textFill>
            <w14:solidFill>
              <w14:schemeClr w14:val="tx1"/>
            </w14:solidFill>
          </w14:textFill>
          <w:woUserID w:val="3"/>
        </w:rPr>
        <w:t>章</w:t>
      </w:r>
      <w:r>
        <w:rPr>
          <w:rFonts w:hint="eastAsia" w:ascii="楷体" w:hAnsi="楷体" w:eastAsia="楷体" w:cs="楷体"/>
          <w:color w:val="000000" w:themeColor="text1"/>
          <w:highlight w:val="none"/>
          <w:lang w:eastAsia="zh"/>
          <w14:textFill>
            <w14:solidFill>
              <w14:schemeClr w14:val="tx1"/>
            </w14:solidFill>
          </w14:textFill>
          <w:woUserID w:val="1"/>
        </w:rPr>
        <w:t xml:space="preserve"> </w:t>
      </w:r>
      <w:r>
        <w:rPr>
          <w:rFonts w:hint="eastAsia" w:ascii="楷体" w:hAnsi="楷体" w:eastAsia="楷体" w:cs="楷体"/>
          <w:color w:val="000000" w:themeColor="text1"/>
          <w:highlight w:val="none"/>
          <w:lang w:val="en-US" w:eastAsia="zh-CN"/>
          <w14:textFill>
            <w14:solidFill>
              <w14:schemeClr w14:val="tx1"/>
            </w14:solidFill>
          </w14:textFill>
        </w:rPr>
        <w:t>推动科技创新和产业创新深度融合</w:t>
      </w:r>
      <w:bookmarkEnd w:id="29"/>
    </w:p>
    <w:p w14:paraId="19BFF20D">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打通从科技强到产业强、经济强的通道，推动创新链产业链资金链人才链“四链”一体布局、高效耦合，从根本上提升产业核心竞争力。</w:t>
      </w:r>
    </w:p>
    <w:p w14:paraId="4CCF7589">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推动科技成果转化落地。</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加快引进科研成果，吸引创新企业在东风进行项目建设和成果中试，加快推动一批见效快、产业带动强的重大科技成果转化应用。建立健全科研院所科研人员职务科技成果转化收益分配机制，畅通科技成果转化链条。围绕新技术</w:t>
      </w:r>
      <w:r>
        <w:rPr>
          <w:rFonts w:hint="eastAsia" w:ascii="仿宋" w:hAnsi="仿宋" w:eastAsia="仿宋" w:cs="仿宋"/>
          <w:color w:val="000000" w:themeColor="text1"/>
          <w:kern w:val="2"/>
          <w:sz w:val="32"/>
          <w:szCs w:val="32"/>
          <w:highlight w:val="none"/>
          <w:lang w:val="en-US" w:eastAsia="zh" w:bidi="ar"/>
          <w14:textFill>
            <w14:solidFill>
              <w14:schemeClr w14:val="tx1"/>
            </w14:solidFill>
          </w14:textFill>
          <w:woUserID w:val="1"/>
        </w:rPr>
        <w:t>、新场景、新消费、新开放、新服务</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布局落地一批特色示范应用场景，加快科技成果在产业升级、商贸物流、金融服务、民生保障等领域形成新业态、新模式。</w:t>
      </w:r>
    </w:p>
    <w:p w14:paraId="4BA0D50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强化场景驱动。</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t>以场景开放为牵引，主动在智慧农业、冷链物流、智慧社区、数字文旅等领域，规划和开放一批具有区域特色的示范应用场景。鼓励新技术、新产品在真实场景中开展首次试用和示范，通过“场景验证”加速技术迭代和市场培育。推动数字技术、绿色技术与城市发展、产业升级深度融合，催生智慧农业服务、冷链供应链金融、能源管理、社区电商等新业态、新模式，形成可复制推广的“东风方案”。</w:t>
      </w:r>
    </w:p>
    <w:p w14:paraId="039C8852">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培育科技领军企业</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t>实施科技企业梯度培育计划，着力打造以创新型领军企业为龙头、高新技术企业为骨干、科技型中小企业和“专精特新”企业为基础的创新企业集群。鼓励领军企业牵头组建创新联合体，联合高校院所承担重大科技项目。推动大中小企业融通创新，鼓励龙头企业开放供应链、创新链资源，带动中小企业协同发展。全面落实企业研发费用加计扣除、高新技术企业税收优惠等政策，探索实施企业研发投入后补助。加大政府采购对区内企业自主创新产品的支持力度，建立首购、订购制度，通过需求侧拉动助力企业技术创新和产品迭代，夯实产业创新的微观基础。</w:t>
      </w:r>
    </w:p>
    <w:p w14:paraId="0072EC1E">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30" w:name="_Toc11782"/>
      <w:r>
        <w:rPr>
          <w:rFonts w:hint="eastAsia" w:ascii="楷体" w:hAnsi="楷体" w:eastAsia="楷体" w:cs="楷体"/>
          <w:color w:val="000000" w:themeColor="text1"/>
          <w:highlight w:val="none"/>
          <w:lang w:eastAsia="zh"/>
          <w14:textFill>
            <w14:solidFill>
              <w14:schemeClr w14:val="tx1"/>
            </w14:solidFill>
          </w14:textFill>
          <w:woUserID w:val="1"/>
        </w:rPr>
        <w:t>第</w:t>
      </w:r>
      <w:r>
        <w:rPr>
          <w:rFonts w:hint="eastAsia" w:ascii="楷体" w:hAnsi="楷体" w:eastAsia="楷体" w:cs="楷体"/>
          <w:color w:val="000000" w:themeColor="text1"/>
          <w:highlight w:val="none"/>
          <w:lang w:val="en-US" w:eastAsia="zh-CN"/>
          <w14:textFill>
            <w14:solidFill>
              <w14:schemeClr w14:val="tx1"/>
            </w14:solidFill>
          </w14:textFill>
          <w:woUserID w:val="3"/>
        </w:rPr>
        <w:t>二十</w:t>
      </w:r>
      <w:r>
        <w:rPr>
          <w:rFonts w:hint="eastAsia" w:ascii="楷体" w:hAnsi="楷体" w:eastAsia="楷体" w:cs="楷体"/>
          <w:color w:val="000000" w:themeColor="text1"/>
          <w:highlight w:val="none"/>
          <w:lang w:eastAsia="zh"/>
          <w14:textFill>
            <w14:solidFill>
              <w14:schemeClr w14:val="tx1"/>
            </w14:solidFill>
          </w14:textFill>
          <w:woUserID w:val="3"/>
        </w:rPr>
        <w:t>章</w:t>
      </w:r>
      <w:r>
        <w:rPr>
          <w:rFonts w:hint="eastAsia" w:ascii="楷体" w:hAnsi="楷体" w:eastAsia="楷体" w:cs="楷体"/>
          <w:color w:val="000000" w:themeColor="text1"/>
          <w:highlight w:val="none"/>
          <w:lang w:eastAsia="zh"/>
          <w14:textFill>
            <w14:solidFill>
              <w14:schemeClr w14:val="tx1"/>
            </w14:solidFill>
          </w14:textFill>
          <w:woUserID w:val="1"/>
        </w:rPr>
        <w:t xml:space="preserve"> </w:t>
      </w:r>
      <w:r>
        <w:rPr>
          <w:rFonts w:hint="eastAsia" w:ascii="楷体" w:hAnsi="楷体" w:eastAsia="楷体" w:cs="楷体"/>
          <w:color w:val="000000" w:themeColor="text1"/>
          <w:highlight w:val="none"/>
          <w:lang w:val="en-US" w:eastAsia="zh-CN"/>
          <w14:textFill>
            <w14:solidFill>
              <w14:schemeClr w14:val="tx1"/>
            </w14:solidFill>
          </w14:textFill>
        </w:rPr>
        <w:t>一体推进科技人才发展</w:t>
      </w:r>
      <w:bookmarkEnd w:id="30"/>
    </w:p>
    <w:p w14:paraId="51D7335F">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把科技人才作为支撑引领新质生产力发展的第一资源，坚持引进与培育并重、激励与服务并举，构建“引育用留”全链条人才生态，为科技创新和产业创新深度融合提供坚实智力支撑。</w:t>
      </w:r>
    </w:p>
    <w:p w14:paraId="687209F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健全科技人才联动培养机制</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建立健全组织、科技、人社、教育、工信等部门协同的一体化推进机制，强化科技规划与人才规划的有效衔接、科技政策与人才政策的有机协同、科技资源与人才资源的统筹配置、科技评价与人才评价的联动互认。围绕重点产业链布局人才链，围绕重大科技任务组建人才团队，促进科技自主创新与人才自主培养深度互动、同频共振，形成“以平台聚人才、以人才强科技、以科技兴产业”的良性循环格局。</w:t>
      </w:r>
    </w:p>
    <w:p w14:paraId="29E353AD">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深化制度改革</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深化人才管理与使用“放管服”改革，向用人主体充分授权。完善以创新价值、能力、贡献为导向的科技人才评价体系，破除“四唯”倾向。全面落实科技成果转化收益分配、职务科技成果赋权等激励政策，探索实施股权、期权、分红等中长期激励措施。建立健全科研人员尽职免责机制，营造鼓励创新、宽容失败的制度环境。在东风区重点企业与研发平台，推广“揭榜挂帅”、“赛马”等项目组织方式，让有真才实学的人才英雄有用武之地，充分释放创新创造活力。</w:t>
      </w:r>
    </w:p>
    <w:p w14:paraId="1116F8A5">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优化服务环境</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实施更加积极开放有效的人才政策，在着力培育本土优秀青年科技人才、卓越工程师、高技能人才的同时，精准引进急需紧缺的创新创业团队、高端技术和管理人才。全面落实党委联系服务专家制度，建立健全从工作到生活、从创业到安居的全方位、个性化服务保障体系。优化子女教育、医疗保健、配偶安置等配套服务。大力宣传表彰优秀科技人才事迹，营造尊重知识、尊重人才、尊重创造的浓厚社会氛围，将东风区打造成为各类人才心生向往、安居乐业、实现价值的发展热土。</w:t>
      </w:r>
    </w:p>
    <w:p w14:paraId="545694C3">
      <w:pPr>
        <w:pStyle w:val="2"/>
        <w:keepNext w:val="0"/>
        <w:keepLines w:val="0"/>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14:textFill>
            <w14:solidFill>
              <w14:schemeClr w14:val="tx1"/>
            </w14:solidFill>
          </w14:textFill>
        </w:rPr>
      </w:pPr>
      <w:bookmarkStart w:id="31" w:name="_Toc23917"/>
      <w:r>
        <w:rPr>
          <w:rFonts w:hint="default" w:ascii="Times New Roman" w:hAnsi="Times New Roman" w:cs="Times New Roman"/>
          <w:color w:val="000000" w:themeColor="text1"/>
          <w:highlight w:val="none"/>
          <w:lang w:eastAsia="zh"/>
          <w14:textFill>
            <w14:solidFill>
              <w14:schemeClr w14:val="tx1"/>
            </w14:solidFill>
          </w14:textFill>
          <w:woUserID w:val="1"/>
        </w:rPr>
        <w:t>第</w:t>
      </w:r>
      <w:r>
        <w:rPr>
          <w:rFonts w:hint="default" w:ascii="Times New Roman" w:hAnsi="Times New Roman" w:cs="Times New Roman"/>
          <w:color w:val="000000" w:themeColor="text1"/>
          <w:highlight w:val="none"/>
          <w:lang w:val="en-US" w:eastAsia="zh-CN"/>
          <w14:textFill>
            <w14:solidFill>
              <w14:schemeClr w14:val="tx1"/>
            </w14:solidFill>
          </w14:textFill>
          <w:woUserID w:val="1"/>
        </w:rPr>
        <w:t>六</w:t>
      </w:r>
      <w:r>
        <w:rPr>
          <w:rFonts w:hint="default" w:ascii="Times New Roman" w:hAnsi="Times New Roman" w:cs="Times New Roman"/>
          <w:color w:val="000000" w:themeColor="text1"/>
          <w:highlight w:val="none"/>
          <w:lang w:eastAsia="zh"/>
          <w14:textFill>
            <w14:solidFill>
              <w14:schemeClr w14:val="tx1"/>
            </w14:solidFill>
          </w14:textFill>
          <w:woUserID w:val="1"/>
        </w:rPr>
        <w:t xml:space="preserve">篇 </w:t>
      </w:r>
      <w:r>
        <w:rPr>
          <w:rFonts w:hint="default" w:ascii="Times New Roman" w:hAnsi="Times New Roman" w:eastAsia="黑体" w:cs="Times New Roman"/>
          <w:color w:val="000000" w:themeColor="text1"/>
          <w:sz w:val="32"/>
          <w:szCs w:val="32"/>
          <w:highlight w:val="none"/>
          <w14:textFill>
            <w14:solidFill>
              <w14:schemeClr w14:val="tx1"/>
            </w14:solidFill>
          </w14:textFill>
        </w:rPr>
        <w:t>服务建设强大国内市场，积极融入新发展格局</w:t>
      </w:r>
      <w:bookmarkEnd w:id="31"/>
    </w:p>
    <w:p w14:paraId="215E34B6">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
          <w14:textFill>
            <w14:solidFill>
              <w14:schemeClr w14:val="tx1"/>
            </w14:solidFill>
          </w14:textFill>
        </w:rPr>
      </w:pPr>
      <w:r>
        <w:rPr>
          <w:rFonts w:hint="eastAsia" w:ascii="仿宋" w:hAnsi="仿宋" w:eastAsia="仿宋" w:cs="仿宋"/>
          <w:color w:val="000000" w:themeColor="text1"/>
          <w:highlight w:val="none"/>
          <w:lang w:val="en-US" w:eastAsia="zh"/>
          <w14:textFill>
            <w14:solidFill>
              <w14:schemeClr w14:val="tx1"/>
            </w14:solidFill>
          </w14:textFill>
        </w:rPr>
        <w:t>坚持深化供给侧结构性改革和扩大内需相结合，坚持惠民生和促消费、投资于物和投资于人紧密结合，以新需求引领新供给，以新供给创造新需求，促进消费和投资、供给和需求良性互动，纵深推进降低全社会物流成本“一号先导工程”，推动经济循环高效畅通。</w:t>
      </w:r>
    </w:p>
    <w:p w14:paraId="34BB36D4">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32" w:name="_Toc25794"/>
      <w:r>
        <w:rPr>
          <w:rFonts w:hint="eastAsia" w:ascii="楷体" w:hAnsi="楷体" w:eastAsia="楷体" w:cs="楷体"/>
          <w:color w:val="000000" w:themeColor="text1"/>
          <w:highlight w:val="none"/>
          <w:lang w:eastAsia="zh"/>
          <w14:textFill>
            <w14:solidFill>
              <w14:schemeClr w14:val="tx1"/>
            </w14:solidFill>
          </w14:textFill>
          <w:woUserID w:val="1"/>
        </w:rPr>
        <w:t>第</w:t>
      </w:r>
      <w:r>
        <w:rPr>
          <w:rFonts w:hint="eastAsia" w:ascii="楷体" w:hAnsi="楷体" w:eastAsia="楷体" w:cs="楷体"/>
          <w:color w:val="000000" w:themeColor="text1"/>
          <w:highlight w:val="none"/>
          <w:lang w:val="en-US" w:eastAsia="zh-CN"/>
          <w14:textFill>
            <w14:solidFill>
              <w14:schemeClr w14:val="tx1"/>
            </w14:solidFill>
          </w14:textFill>
          <w:woUserID w:val="3"/>
        </w:rPr>
        <w:t>二十一</w:t>
      </w:r>
      <w:r>
        <w:rPr>
          <w:rFonts w:hint="eastAsia" w:ascii="楷体" w:hAnsi="楷体" w:eastAsia="楷体" w:cs="楷体"/>
          <w:color w:val="000000" w:themeColor="text1"/>
          <w:highlight w:val="none"/>
          <w:lang w:eastAsia="zh"/>
          <w14:textFill>
            <w14:solidFill>
              <w14:schemeClr w14:val="tx1"/>
            </w14:solidFill>
          </w14:textFill>
          <w:woUserID w:val="3"/>
        </w:rPr>
        <w:t>章</w:t>
      </w:r>
      <w:r>
        <w:rPr>
          <w:rFonts w:hint="eastAsia" w:ascii="楷体" w:hAnsi="楷体" w:eastAsia="楷体" w:cs="楷体"/>
          <w:color w:val="000000" w:themeColor="text1"/>
          <w:highlight w:val="none"/>
          <w:lang w:eastAsia="zh"/>
          <w14:textFill>
            <w14:solidFill>
              <w14:schemeClr w14:val="tx1"/>
            </w14:solidFill>
          </w14:textFill>
          <w:woUserID w:val="1"/>
        </w:rPr>
        <w:t xml:space="preserve"> </w:t>
      </w:r>
      <w:r>
        <w:rPr>
          <w:rFonts w:hint="eastAsia" w:ascii="楷体" w:hAnsi="楷体" w:eastAsia="楷体" w:cs="楷体"/>
          <w:color w:val="000000" w:themeColor="text1"/>
          <w:highlight w:val="none"/>
          <w:lang w:val="en-US" w:eastAsia="zh-CN"/>
          <w14:textFill>
            <w14:solidFill>
              <w14:schemeClr w14:val="tx1"/>
            </w14:solidFill>
          </w14:textFill>
        </w:rPr>
        <w:t>推动消费提质扩容</w:t>
      </w:r>
      <w:bookmarkEnd w:id="32"/>
    </w:p>
    <w:p w14:paraId="26320C7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把握消费升级趋势，着力优化供给、创新场景、改善环境，全面激发消费潜力，让消费更好发挥对经济发展的基础性作用。</w:t>
      </w:r>
    </w:p>
    <w:p w14:paraId="61F9018B">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持续深挖消费潜力</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深入实施提振消费专项行动，全面贯彻落实国家、省、市关于鼓励汽车、电子产品、家居等大宗消费的系列措施，完善从购买激励到使用便利的全链条支持机制。进一步释放重点领域消费潜能，推动汽车消费从购置环节向二手车流通、充换电设施建设、汽车文化等后市场延伸。促进绿色智能家电、数码产品升级换代，鼓励家居消费与住房改善、家装改造协同联动。优化城区商业空间布局，推动浦东、东兴城等传统商圈业态升级，强化其综合服务和区域辐射功能。引导大型商贸综合体向社交化、场景化转型，增加体验式、互动式消费供给，支持实体商业运用数字技术提升运营效率，推动传统消费向体验化、品质化和数字化方向全面升级。持续推出消费券等直达消费者的普惠性活动，建立健全促消费长效机制，稳定市场预期。</w:t>
      </w:r>
    </w:p>
    <w:p w14:paraId="75726434">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培育壮大新型消费</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支持在线定制、直播电商、即时零售、社区团购、近场服务等新业态新模式健康发展，促进线上线下消费深度融合。鼓励企业利用大数据、人工智能等技术精准匹配消费需求，推动消费扩容提质，引导消费向体验化、品质化和数字化演进。依托我区特色资源，创新发展冰雪经济，围绕文化旅游与休闲度假，全力推动东风区冰雪乐园等重点项目建设，打造集运动、娱乐、培训于一体的冰雪消费场景，有效带动餐饮、旅游、住宿等相关产业消费增长。支持电商产业集聚发展，依托现有科创平台引进和培育优质电商企业，鼓励本土电商企业拓展业务领域，积极探索跨境电商发展路径，构建线上线下融合的现代流通体系。</w:t>
      </w:r>
    </w:p>
    <w:p w14:paraId="68768EDC">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扩大优质消费供给</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以放宽服务消费市场准入、促进业态融合为重点，扩大健康、养老、文化、旅游等服务消费供给，持续做优做强“爱尚三江”区域特色消费品牌。充分发挥我区在特色农产品、绿色食品、健康食品等方面的资源优势，支持企业开展精深加工与品牌化建设，运用新媒体讲好品牌故事，提升产品附加值与市场知名度。引导企业创新服务模式，发展个性化定制、柔性化生产、全生命周期管理等增值服务，打造一批具有东风区辨识度的消费品牌。持续强化消费者权益保护，畅通投诉举报渠道，完善市场监督机制，营造安全、放心、便捷的消费环境，以优质供给激发潜在需求。</w:t>
      </w:r>
    </w:p>
    <w:p w14:paraId="18528C8C">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14:textFill>
            <w14:solidFill>
              <w14:schemeClr w14:val="tx1"/>
            </w14:solidFill>
          </w14:textFill>
          <w:woUserID w:val="1"/>
        </w:rPr>
      </w:pPr>
      <w:bookmarkStart w:id="33" w:name="_Toc9817"/>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 xml:space="preserve">第二十二章 </w:t>
      </w:r>
      <w:r>
        <w:rPr>
          <w:rFonts w:hint="eastAsia" w:ascii="楷体" w:hAnsi="楷体" w:eastAsia="楷体" w:cs="楷体"/>
          <w:b/>
          <w:bCs w:val="0"/>
          <w:color w:val="000000" w:themeColor="text1"/>
          <w:kern w:val="2"/>
          <w:sz w:val="32"/>
          <w:szCs w:val="32"/>
          <w:highlight w:val="none"/>
          <w14:textFill>
            <w14:solidFill>
              <w14:schemeClr w14:val="tx1"/>
            </w14:solidFill>
          </w14:textFill>
          <w:woUserID w:val="1"/>
        </w:rPr>
        <w:t>提升投资规模和效益</w:t>
      </w:r>
      <w:bookmarkEnd w:id="33"/>
    </w:p>
    <w:p w14:paraId="5D70468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坚持以高质量项目支撑高质量发展，优化投资结构，拓展投资空间，强化要素保障，全力推动投资规模稳步增长、效益显著提升，为经济社会发展注入强劲动能。</w:t>
      </w:r>
    </w:p>
    <w:p w14:paraId="0BD6442B">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优化政府投资结构。</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紧密围绕国家及省市重大战略部署、政策导向与资金投向，精准谋划和推进“两重”和“两新”领域项目。主动适应人口结构变化与流动趋势，科学规划布局基础设施与公共服务设施，加强教育、医疗、托育、养老等领域的有效投资。统筹整合用好各类政府性资金，探索编制覆盖全区、贯穿全年的全口径政府投资计划，强化项目论证、预算审核、建设监管、绩效评价的全过程闭环管理，切实提高政府投资效率，发挥其对全社会投资的引导撬动作用。</w:t>
      </w:r>
    </w:p>
    <w:p w14:paraId="215D9DAB">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深化投资审批制度改革</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持续推进“放管服”改革，优化投资项目审批流程，压缩审批时限。积极推动区属国有企业深化改革，转变监管职能，从“管资产”向“管资本”为主转变，分层分类、一企一策明确企业发展目标和考核重点，引导企业更好履行经济责任、社会责任和政治责任。创新公共产品与服务供给模式，鼓励和引导社会资本和政府合作、股权投资、公建民营、民办公助等多种方式，公平参与基础设施和民生项目建设，形成多元化、可持续的投融资格局。</w:t>
      </w:r>
    </w:p>
    <w:p w14:paraId="3E9EC2F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强化项目谋划实施。</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聚焦我区产业升级、城市更新、民生改善等领域，谋划储备一批打基础、利长远、促转型、增后劲的重大项目。切实提高项目前期工作深度与质量，加强项目全生命周期管理服务。完善促进民营经济发展长效机制，支持民营企业平等参与重大项目建设。深入实施“投资东风区”专项行动，突出“招大引强、招新引优、招才引智”，围绕重点产业链开展精准招商、以商招商、平台招商，着力引进一批技术含量高、带动能力强、发展前景好的优质项目，全力推动招商引资项目数量与质量实现“双提升”，以高质量投资支撑高质量发展。</w:t>
      </w:r>
    </w:p>
    <w:p w14:paraId="25F3B954">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pPr>
      <w:bookmarkStart w:id="34" w:name="_Toc21055"/>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第二十三章 融入全国统一大市场</w:t>
      </w:r>
      <w:bookmarkEnd w:id="34"/>
    </w:p>
    <w:p w14:paraId="0B46F4FD">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主动对接国家战略，破除地方保护和市场分割，推动商品要素资源在更大范围内畅通流动，在融入和服务全国统一大市场中提升东风区资源配置效率和发展能级。</w:t>
      </w:r>
    </w:p>
    <w:p w14:paraId="6441E28D">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构建公平活力的市场环境</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强化劳动力、金融、法律诉讼等重点领域的要素与服务保障，持续清理各类显性和隐性市场准入壁垒，严格落实“非禁即入”。优化企业注销、歇业等退出机制，提升市场主体新陈代谢效率。大力规范政府采购和招标投标行为，切实降低企业制度性交易成本。健全政府、市场、社会协同联动的信用环境，加强政府诚信建设，完善合同履约与监督机制，深化“信易贷”服务模式，依托融资信用征信平台促进银企高效对接，推动全区社会信用体系建设迈向更高质量发展。</w:t>
      </w:r>
    </w:p>
    <w:p w14:paraId="5CBE4A7A">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强化市场监管综合执法。</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综合整治“内卷式”恶性竞争，统一市场监管规则与执法标准，加强全链条质量安全监管。严格执行行政裁量权基准制度，全面清理并废止妨碍全国统一大市场和公平竞争的各种规定与做法。坚决整治选择性执法、滥用行政权力限制竞争等行为。通过严格规范的市场监管，推动形成优质优价、优胜劣汰的良性市场竞争秩序，保护消费者权益和经营者合法利益。</w:t>
      </w:r>
    </w:p>
    <w:p w14:paraId="7E7737A5">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color w:val="000000" w:themeColor="text1"/>
          <w:sz w:val="32"/>
          <w:szCs w:val="32"/>
          <w:highlight w:val="none"/>
          <w14:textFill>
            <w14:solidFill>
              <w14:schemeClr w14:val="tx1"/>
            </w14:solidFill>
          </w14:textFill>
        </w:rPr>
      </w:pPr>
      <w:bookmarkStart w:id="35" w:name="_Toc22077"/>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 xml:space="preserve">第二十四章 </w:t>
      </w:r>
      <w:r>
        <w:rPr>
          <w:rFonts w:hint="eastAsia" w:ascii="楷体" w:hAnsi="楷体" w:eastAsia="楷体" w:cs="楷体"/>
          <w:b/>
          <w:bCs/>
          <w:color w:val="000000" w:themeColor="text1"/>
          <w:sz w:val="32"/>
          <w:szCs w:val="32"/>
          <w:highlight w:val="none"/>
          <w14:textFill>
            <w14:solidFill>
              <w14:schemeClr w14:val="tx1"/>
            </w14:solidFill>
          </w14:textFill>
        </w:rPr>
        <w:t>增强陆港型国家物流枢纽功能</w:t>
      </w:r>
      <w:bookmarkEnd w:id="35"/>
    </w:p>
    <w:p w14:paraId="5F773387">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提升佳木斯市国家陆港型枢纽城市核心片区能级作为深度融入国内国际双循环的战略抓手，强化集疏运体系，拓展服务功能，将枢纽优势转化为发展胜势。</w:t>
      </w:r>
    </w:p>
    <w:p w14:paraId="426F28C3">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lang w:eastAsia="zh"/>
          <w14:textFill>
            <w14:solidFill>
              <w14:schemeClr w14:val="tx1"/>
            </w14:solidFill>
          </w14:textFill>
        </w:rPr>
        <w:t>强化枢纽核心能力建设</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
          <w14:textFill>
            <w14:solidFill>
              <w14:schemeClr w14:val="tx1"/>
            </w14:solidFill>
          </w14:textFill>
        </w:rPr>
        <w:t>系统完善枢纽场站、多式联运、仓储配送等基础设施，全力推进一批关键性、功能型物流项目建设，显著提升枢纽的集疏运效率、仓储智能化和服务专业化水平。</w:t>
      </w:r>
      <w:r>
        <w:rPr>
          <w:rFonts w:hint="eastAsia" w:ascii="仿宋" w:hAnsi="仿宋" w:eastAsia="仿宋" w:cs="仿宋"/>
          <w:color w:val="000000" w:themeColor="text1"/>
          <w:kern w:val="2"/>
          <w:sz w:val="32"/>
          <w:szCs w:val="32"/>
          <w:highlight w:val="none"/>
          <w14:textFill>
            <w14:solidFill>
              <w14:schemeClr w14:val="tx1"/>
            </w14:solidFill>
          </w14:textFill>
          <w:woUserID w:val="1"/>
        </w:rPr>
        <w:t>完备城乡商贸流通网络，引导物流、制造、商贸等产业集中布局，优化上下游各环节资源配置。</w:t>
      </w:r>
      <w:r>
        <w:rPr>
          <w:rFonts w:hint="eastAsia" w:ascii="仿宋" w:hAnsi="仿宋" w:eastAsia="仿宋" w:cs="仿宋"/>
          <w:color w:val="000000" w:themeColor="text1"/>
          <w:highlight w:val="none"/>
          <w14:textFill>
            <w14:solidFill>
              <w14:schemeClr w14:val="tx1"/>
            </w14:solidFill>
          </w14:textFill>
        </w:rPr>
        <w:t>以公铁物流园、高铁编组站、机场</w:t>
      </w:r>
      <w:r>
        <w:rPr>
          <w:rFonts w:hint="eastAsia" w:ascii="仿宋" w:hAnsi="仿宋" w:eastAsia="仿宋" w:cs="仿宋"/>
          <w:color w:val="000000" w:themeColor="text1"/>
          <w:highlight w:val="none"/>
          <w:lang w:val="en-US" w:eastAsia="zh-CN"/>
          <w14:textFill>
            <w14:solidFill>
              <w14:schemeClr w14:val="tx1"/>
            </w14:solidFill>
          </w14:textFill>
        </w:rPr>
        <w:t>物流</w:t>
      </w:r>
      <w:r>
        <w:rPr>
          <w:rFonts w:hint="eastAsia" w:ascii="仿宋" w:hAnsi="仿宋" w:eastAsia="仿宋" w:cs="仿宋"/>
          <w:color w:val="000000" w:themeColor="text1"/>
          <w:highlight w:val="none"/>
          <w14:textFill>
            <w14:solidFill>
              <w14:schemeClr w14:val="tx1"/>
            </w14:solidFill>
          </w14:textFill>
        </w:rPr>
        <w:t>、齐辰现代物流产业园、远辉智慧医药物流中心、浦东物流园等为核心载体，形成综合物流、电商物流、大宗商品物流、冷链物流等功能片区。</w:t>
      </w:r>
    </w:p>
    <w:p w14:paraId="21310980">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lang w:eastAsia="zh"/>
          <w14:textFill>
            <w14:solidFill>
              <w14:schemeClr w14:val="tx1"/>
            </w14:solidFill>
          </w14:textFill>
        </w:rPr>
        <w:t>发展高效多式联运</w:t>
      </w:r>
      <w:r>
        <w:rPr>
          <w:rFonts w:hint="eastAsia" w:ascii="仿宋" w:hAnsi="仿宋" w:eastAsia="仿宋" w:cs="仿宋"/>
          <w:color w:val="000000" w:themeColor="text1"/>
          <w:highlight w:val="none"/>
          <w:lang w:eastAsia="zh"/>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重点建设公铁联运、陆空联运转换中心，依托航空港、国家一类水运口岸及高速公路网络，高标准建设多式联运枢纽中心，建设全市现代物流示范区</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
          <w14:textFill>
            <w14:solidFill>
              <w14:schemeClr w14:val="tx1"/>
            </w14:solidFill>
          </w14:textFill>
        </w:rPr>
        <w:t>重点发展以“公铁联运”为核心，兼顾“陆海联运”、“铁水联运”的多式联运体系，培育建设若干集运输、仓储、信息、金融等功能于一体的综合服务型物流园区。</w:t>
      </w:r>
    </w:p>
    <w:p w14:paraId="480BB0DE">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第三节 </w:t>
      </w:r>
      <w:r>
        <w:rPr>
          <w:rFonts w:hint="eastAsia" w:ascii="仿宋" w:hAnsi="仿宋" w:eastAsia="仿宋" w:cs="仿宋"/>
          <w:b/>
          <w:bCs/>
          <w:color w:val="000000" w:themeColor="text1"/>
          <w:highlight w:val="none"/>
          <w:lang w:eastAsia="zh"/>
          <w14:textFill>
            <w14:solidFill>
              <w14:schemeClr w14:val="tx1"/>
            </w14:solidFill>
          </w14:textFill>
        </w:rPr>
        <w:t>培育壮大现代物流主体</w:t>
      </w:r>
      <w:r>
        <w:rPr>
          <w:rFonts w:hint="eastAsia" w:ascii="仿宋" w:hAnsi="仿宋" w:eastAsia="仿宋" w:cs="仿宋"/>
          <w:color w:val="000000" w:themeColor="text1"/>
          <w:highlight w:val="none"/>
          <w:lang w:eastAsia="zh"/>
          <w14:textFill>
            <w14:solidFill>
              <w14:schemeClr w14:val="tx1"/>
            </w14:solidFill>
          </w14:textFill>
        </w:rPr>
        <w:t>。实施现代化物流龙头企业培育专项行动，支持本地骨干物流企业通过兼并重组、联盟合作等方式做大做强。鼓励中小物流企业聚焦智慧物流信息技术应用、专业化冷链物流、精细化零担快运等细分领域，培育形成特色服务优势。推动国家物流枢纽与周边产业园区、商贸集聚区协同布局、联动发展，引导物流、制造业、商贸业在空间上集聚、在链条上融合。</w:t>
      </w:r>
    </w:p>
    <w:p w14:paraId="152DD525">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第四节 </w:t>
      </w:r>
      <w:r>
        <w:rPr>
          <w:rFonts w:hint="eastAsia" w:ascii="仿宋" w:hAnsi="仿宋" w:eastAsia="仿宋" w:cs="仿宋"/>
          <w:b/>
          <w:bCs/>
          <w:color w:val="000000" w:themeColor="text1"/>
          <w:highlight w:val="none"/>
          <w14:textFill>
            <w14:solidFill>
              <w14:schemeClr w14:val="tx1"/>
            </w14:solidFill>
          </w14:textFill>
        </w:rPr>
        <w:t>培育物流新业态</w:t>
      </w:r>
      <w:r>
        <w:rPr>
          <w:rFonts w:hint="eastAsia" w:ascii="仿宋" w:hAnsi="仿宋" w:eastAsia="仿宋" w:cs="仿宋"/>
          <w:color w:val="000000" w:themeColor="text1"/>
          <w:highlight w:val="none"/>
          <w14:textFill>
            <w14:solidFill>
              <w14:schemeClr w14:val="tx1"/>
            </w14:solidFill>
          </w14:textFill>
        </w:rPr>
        <w:t>。推动大数据、人工智能在物流领域的深度应用，建设区域物流公共信息平台，提升仓储管理、运输配送的智能化水平。围绕</w:t>
      </w:r>
      <w:r>
        <w:rPr>
          <w:rFonts w:hint="eastAsia" w:ascii="仿宋" w:hAnsi="仿宋" w:eastAsia="仿宋" w:cs="仿宋"/>
          <w:color w:val="000000" w:themeColor="text1"/>
          <w:highlight w:val="none"/>
          <w:lang w:val="en-US" w:eastAsia="zh-CN"/>
          <w14:textFill>
            <w14:solidFill>
              <w14:schemeClr w14:val="tx1"/>
            </w14:solidFill>
          </w14:textFill>
        </w:rPr>
        <w:t>农副产品精深加工</w:t>
      </w:r>
      <w:r>
        <w:rPr>
          <w:rFonts w:hint="eastAsia" w:ascii="仿宋" w:hAnsi="仿宋" w:eastAsia="仿宋" w:cs="仿宋"/>
          <w:color w:val="000000" w:themeColor="text1"/>
          <w:highlight w:val="none"/>
          <w14:textFill>
            <w14:solidFill>
              <w14:schemeClr w14:val="tx1"/>
            </w14:solidFill>
          </w14:textFill>
        </w:rPr>
        <w:t>、装备制造等支柱产业，提升电商物流、冷链物流、跨境物流等专业服务能力，拓展智能配送、快捷物流、精益物流、绿色物流等新领域。以</w:t>
      </w:r>
      <w:r>
        <w:rPr>
          <w:rFonts w:hint="eastAsia" w:ascii="仿宋" w:hAnsi="仿宋" w:eastAsia="仿宋" w:cs="仿宋"/>
          <w:color w:val="000000" w:themeColor="text1"/>
          <w:highlight w:val="none"/>
          <w:u w:val="none"/>
          <w14:textFill>
            <w14:solidFill>
              <w14:schemeClr w14:val="tx1"/>
            </w14:solidFill>
          </w14:textFill>
        </w:rPr>
        <w:t>对俄开发开放</w:t>
      </w:r>
      <w:r>
        <w:rPr>
          <w:rFonts w:hint="eastAsia" w:ascii="仿宋" w:hAnsi="仿宋" w:eastAsia="仿宋" w:cs="仿宋"/>
          <w:color w:val="000000" w:themeColor="text1"/>
          <w:highlight w:val="none"/>
          <w14:textFill>
            <w14:solidFill>
              <w14:schemeClr w14:val="tx1"/>
            </w14:solidFill>
          </w14:textFill>
        </w:rPr>
        <w:t>为着力点，大力推进国际港口建设，加强与抚远、同江、富锦等口岸的衔接，建设松花江下游重要多式联运枢纽港口。</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FF6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3F04B930">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专栏</w:t>
            </w:r>
            <w:r>
              <w:rPr>
                <w:rFonts w:hint="eastAsia" w:eastAsia="微软雅黑" w:cs="Times New Roman"/>
                <w:color w:val="000000" w:themeColor="text1"/>
                <w:sz w:val="24"/>
                <w:szCs w:val="24"/>
                <w:highlight w:val="none"/>
                <w:lang w:val="en-US" w:eastAsia="zh-CN" w:bidi="ar"/>
                <w14:textFill>
                  <w14:solidFill>
                    <w14:schemeClr w14:val="tx1"/>
                  </w14:solidFill>
                </w14:textFill>
              </w:rPr>
              <w:t>6</w:t>
            </w:r>
            <w:r>
              <w:rPr>
                <w:rFonts w:hint="default" w:ascii="Times New Roman" w:hAnsi="Times New Roman" w:eastAsia="微软雅黑" w:cs="Times New Roman"/>
                <w:color w:val="000000" w:themeColor="text1"/>
                <w:sz w:val="24"/>
                <w:szCs w:val="24"/>
                <w:highlight w:val="none"/>
                <w:lang w:val="en-US" w:eastAsia="zh-CN" w:bidi="ar"/>
                <w14:textFill>
                  <w14:solidFill>
                    <w14:schemeClr w14:val="tx1"/>
                  </w14:solidFill>
                </w14:textFill>
              </w:rPr>
              <w:t>-1</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 xml:space="preserve">   </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woUserID w:val="1"/>
              </w:rPr>
              <w:t>现代物流</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重点项目</w:t>
            </w:r>
          </w:p>
        </w:tc>
      </w:tr>
      <w:tr w14:paraId="7BF4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2D1E253A">
            <w:pPr>
              <w:keepNext w:val="0"/>
              <w:keepLines w:val="0"/>
              <w:pageBreakBefore w:val="0"/>
              <w:widowControl w:val="0"/>
              <w:suppressLineNumbers w:val="0"/>
              <w:kinsoku/>
              <w:wordWrap/>
              <w:overflowPunct/>
              <w:topLinePunct w:val="0"/>
              <w:autoSpaceDN/>
              <w:bidi w:val="0"/>
              <w:snapToGrid w:val="0"/>
              <w:spacing w:before="0" w:beforeAutospacing="0" w:after="0" w:afterAutospacing="0" w:line="600" w:lineRule="exact"/>
              <w:ind w:left="0" w:right="0" w:firstLine="420" w:firstLineChars="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东风区生鲜冷链物流项目。</w:t>
            </w:r>
            <w:r>
              <w:rPr>
                <w:rFonts w:hint="eastAsia" w:cs="Times New Roman"/>
                <w:color w:val="000000" w:themeColor="text1"/>
                <w:kern w:val="2"/>
                <w:sz w:val="24"/>
                <w:szCs w:val="24"/>
                <w:highlight w:val="none"/>
                <w:lang w:val="en-US" w:eastAsia="zh-CN" w:bidi="ar"/>
                <w14:textFill>
                  <w14:solidFill>
                    <w14:schemeClr w14:val="tx1"/>
                  </w14:solidFill>
                </w14:textFill>
                <w:woUserID w:val="1"/>
              </w:rPr>
              <w:t>建设</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冷链仓储、智能冷库及加工车间。</w:t>
            </w:r>
          </w:p>
          <w:p w14:paraId="588D0193">
            <w:pPr>
              <w:keepNext w:val="0"/>
              <w:keepLines w:val="0"/>
              <w:pageBreakBefore w:val="0"/>
              <w:widowControl w:val="0"/>
              <w:suppressLineNumbers w:val="0"/>
              <w:kinsoku/>
              <w:wordWrap/>
              <w:overflowPunct/>
              <w:topLinePunct w:val="0"/>
              <w:autoSpaceDN/>
              <w:bidi w:val="0"/>
              <w:snapToGrid w:val="0"/>
              <w:spacing w:before="0" w:beforeAutospacing="0" w:after="0" w:afterAutospacing="0" w:line="600" w:lineRule="exact"/>
              <w:ind w:left="0" w:right="0" w:firstLine="420" w:firstLineChars="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东风区生鲜畜禽供应链项目。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新建公共冷库库，支持肉类、果蔬等多品类冷藏，建设冷链集配中心，配备冷藏运输车辆，并完善末端配送站点。</w:t>
            </w:r>
          </w:p>
          <w:p w14:paraId="5C58EC8D">
            <w:pPr>
              <w:keepNext w:val="0"/>
              <w:keepLines w:val="0"/>
              <w:pageBreakBefore w:val="0"/>
              <w:widowControl w:val="0"/>
              <w:suppressLineNumbers w:val="0"/>
              <w:kinsoku/>
              <w:wordWrap/>
              <w:overflowPunct/>
              <w:topLinePunct w:val="0"/>
              <w:autoSpaceDN/>
              <w:bidi w:val="0"/>
              <w:snapToGrid w:val="0"/>
              <w:spacing w:before="0" w:beforeAutospacing="0" w:after="0" w:afterAutospacing="0" w:line="600" w:lineRule="exact"/>
              <w:ind w:left="0" w:right="0" w:firstLine="420" w:firstLineChars="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东风区智慧物流产业园项目。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主要进行基础设施建设，包括大型智能化仓库、分拣中心、内部道路，以及智慧化系统搭建，包括物联网监控平台、智能运输调度系统、信息化管理平台等。</w:t>
            </w:r>
          </w:p>
          <w:p w14:paraId="6AB27398">
            <w:pPr>
              <w:keepNext w:val="0"/>
              <w:keepLines w:val="0"/>
              <w:pageBreakBefore w:val="0"/>
              <w:widowControl w:val="0"/>
              <w:suppressLineNumbers w:val="0"/>
              <w:kinsoku/>
              <w:wordWrap/>
              <w:overflowPunct/>
              <w:topLinePunct w:val="0"/>
              <w:autoSpaceDN/>
              <w:bidi w:val="0"/>
              <w:snapToGrid w:val="0"/>
              <w:spacing w:before="0" w:beforeAutospacing="0" w:after="0" w:afterAutospacing="0" w:line="600" w:lineRule="exact"/>
              <w:ind w:left="0" w:right="0" w:firstLine="420" w:firstLineChars="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空港经济区项目。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主要建设江海陆空联运物流区、综合保税区、综合仓储区、金融贸易区、商贸服务区等功能区块及宾馆餐饮、娱乐健身等商住服务设施。</w:t>
            </w:r>
          </w:p>
          <w:p w14:paraId="1E8509BB">
            <w:pPr>
              <w:keepNext w:val="0"/>
              <w:keepLines w:val="0"/>
              <w:pageBreakBefore w:val="0"/>
              <w:widowControl w:val="0"/>
              <w:suppressLineNumbers w:val="0"/>
              <w:kinsoku/>
              <w:wordWrap/>
              <w:overflowPunct/>
              <w:topLinePunct w:val="0"/>
              <w:autoSpaceDN/>
              <w:bidi w:val="0"/>
              <w:snapToGrid w:val="0"/>
              <w:spacing w:before="0" w:beforeAutospacing="0" w:after="0" w:afterAutospacing="0" w:line="600" w:lineRule="exact"/>
              <w:ind w:left="0" w:right="0" w:firstLine="420" w:firstLineChars="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黑龙江格瑞特医药有限公司智慧医药物流中心项目。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改造原有厂房，引进物流配套设备及智能产品分拨系统，购置医药配送车辆。</w:t>
            </w:r>
          </w:p>
          <w:p w14:paraId="14CB93C0">
            <w:pPr>
              <w:keepNext w:val="0"/>
              <w:keepLines w:val="0"/>
              <w:pageBreakBefore w:val="0"/>
              <w:widowControl w:val="0"/>
              <w:suppressLineNumbers w:val="0"/>
              <w:kinsoku/>
              <w:wordWrap/>
              <w:overflowPunct/>
              <w:topLinePunct w:val="0"/>
              <w:autoSpaceDN/>
              <w:bidi w:val="0"/>
              <w:snapToGrid w:val="0"/>
              <w:spacing w:before="0" w:beforeAutospacing="0" w:after="0" w:afterAutospacing="0" w:line="600" w:lineRule="exact"/>
              <w:ind w:left="0" w:right="0" w:firstLine="420" w:firstLineChars="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黑龙江省佳木斯市东风区冷链物流园项目。</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建设蔬菜保鲜库、冷藏库、分装库、分装车间、保鲜加工车间、蔬菜收购场地、机房、加工车间、蔬菜展厅、办公室和生活综合设施以及围墙、绿化,电水气热四通。</w:t>
            </w:r>
          </w:p>
          <w:p w14:paraId="0F03DF69">
            <w:pPr>
              <w:keepNext w:val="0"/>
              <w:keepLines w:val="0"/>
              <w:pageBreakBefore w:val="0"/>
              <w:widowControl w:val="0"/>
              <w:suppressLineNumbers w:val="0"/>
              <w:kinsoku/>
              <w:wordWrap/>
              <w:overflowPunct/>
              <w:topLinePunct w:val="0"/>
              <w:autoSpaceDN/>
              <w:bidi w:val="0"/>
              <w:snapToGrid w:val="0"/>
              <w:spacing w:before="0" w:beforeAutospacing="0" w:after="0" w:afterAutospacing="0" w:line="600" w:lineRule="exact"/>
              <w:ind w:left="0" w:right="0" w:firstLine="420" w:firstLineChars="0"/>
              <w:jc w:val="both"/>
              <w:rPr>
                <w:rFonts w:hint="default" w:ascii="Times New Roman" w:hAnsi="Times New Roman" w:eastAsia="仿宋_GB2312" w:cs="Times New Roman"/>
                <w:b/>
                <w:bCs/>
                <w:color w:val="000000" w:themeColor="text1"/>
                <w:kern w:val="2"/>
                <w:sz w:val="24"/>
                <w:szCs w:val="24"/>
                <w:highlight w:val="none"/>
                <w:lang w:bidi="ar"/>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佳木斯双合路冷链仓储物流园项目。</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1"/>
              </w:rPr>
              <w:t>主要建设冷藏区、冷冻区、恒温区等。</w:t>
            </w:r>
          </w:p>
          <w:p w14:paraId="339E0042">
            <w:pPr>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420"/>
              <w:jc w:val="both"/>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佳木斯粮食仓储物流项目。</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1"/>
              </w:rPr>
              <w:t>主要建设粮食储备库</w:t>
            </w:r>
            <w:r>
              <w:rPr>
                <w:rFonts w:hint="eastAsia" w:cs="Times New Roman"/>
                <w:b w:val="0"/>
                <w:bCs w:val="0"/>
                <w:color w:val="000000" w:themeColor="text1"/>
                <w:kern w:val="2"/>
                <w:sz w:val="24"/>
                <w:szCs w:val="24"/>
                <w:highlight w:val="none"/>
                <w:lang w:val="en-US" w:eastAsia="zh-CN" w:bidi="ar"/>
                <w14:textFill>
                  <w14:solidFill>
                    <w14:schemeClr w14:val="tx1"/>
                  </w14:solidFill>
                </w14:textFill>
                <w:woUserID w:val="1"/>
              </w:rPr>
              <w:t>、</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1"/>
              </w:rPr>
              <w:t>烘干塔</w:t>
            </w:r>
            <w:r>
              <w:rPr>
                <w:rFonts w:hint="eastAsia" w:cs="Times New Roman"/>
                <w:b w:val="0"/>
                <w:bCs w:val="0"/>
                <w:color w:val="000000" w:themeColor="text1"/>
                <w:kern w:val="2"/>
                <w:sz w:val="24"/>
                <w:szCs w:val="24"/>
                <w:highlight w:val="none"/>
                <w:lang w:val="en-US" w:eastAsia="zh-CN" w:bidi="ar"/>
                <w14:textFill>
                  <w14:solidFill>
                    <w14:schemeClr w14:val="tx1"/>
                  </w14:solidFill>
                </w14:textFill>
                <w:woUserID w:val="1"/>
              </w:rPr>
              <w:t>、</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1"/>
              </w:rPr>
              <w:t>化验室</w:t>
            </w:r>
            <w:r>
              <w:rPr>
                <w:rFonts w:hint="eastAsia" w:cs="Times New Roman"/>
                <w:b w:val="0"/>
                <w:bCs w:val="0"/>
                <w:color w:val="000000" w:themeColor="text1"/>
                <w:kern w:val="2"/>
                <w:sz w:val="24"/>
                <w:szCs w:val="24"/>
                <w:highlight w:val="none"/>
                <w:lang w:val="en-US" w:eastAsia="zh-CN" w:bidi="ar"/>
                <w14:textFill>
                  <w14:solidFill>
                    <w14:schemeClr w14:val="tx1"/>
                  </w14:solidFill>
                </w14:textFill>
                <w:woUserID w:val="1"/>
              </w:rPr>
              <w:t>、</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1"/>
              </w:rPr>
              <w:t>综合办公楼等。</w:t>
            </w:r>
          </w:p>
        </w:tc>
      </w:tr>
    </w:tbl>
    <w:p w14:paraId="2A7F34FB">
      <w:pPr>
        <w:pStyle w:val="2"/>
        <w:keepNext w:val="0"/>
        <w:keepLines w:val="0"/>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lang w:eastAsia="zh"/>
          <w14:textFill>
            <w14:solidFill>
              <w14:schemeClr w14:val="tx1"/>
            </w14:solidFill>
          </w14:textFill>
          <w:woUserID w:val="1"/>
        </w:rPr>
      </w:pPr>
      <w:bookmarkStart w:id="36" w:name="_Toc26146"/>
      <w:r>
        <w:rPr>
          <w:rFonts w:hint="default" w:ascii="Times New Roman" w:hAnsi="Times New Roman" w:cs="Times New Roman"/>
          <w:color w:val="000000" w:themeColor="text1"/>
          <w:highlight w:val="none"/>
          <w:lang w:eastAsia="zh"/>
          <w14:textFill>
            <w14:solidFill>
              <w14:schemeClr w14:val="tx1"/>
            </w14:solidFill>
          </w14:textFill>
          <w:woUserID w:val="1"/>
        </w:rPr>
        <w:t>第</w:t>
      </w:r>
      <w:r>
        <w:rPr>
          <w:rFonts w:hint="default" w:ascii="Times New Roman" w:hAnsi="Times New Roman" w:cs="Times New Roman"/>
          <w:color w:val="000000" w:themeColor="text1"/>
          <w:highlight w:val="none"/>
          <w:lang w:val="en-US" w:eastAsia="zh-CN"/>
          <w14:textFill>
            <w14:solidFill>
              <w14:schemeClr w14:val="tx1"/>
            </w14:solidFill>
          </w14:textFill>
          <w:woUserID w:val="1"/>
        </w:rPr>
        <w:t>七</w:t>
      </w:r>
      <w:r>
        <w:rPr>
          <w:rFonts w:hint="default" w:ascii="Times New Roman" w:hAnsi="Times New Roman" w:cs="Times New Roman"/>
          <w:color w:val="000000" w:themeColor="text1"/>
          <w:highlight w:val="none"/>
          <w:lang w:eastAsia="zh"/>
          <w14:textFill>
            <w14:solidFill>
              <w14:schemeClr w14:val="tx1"/>
            </w14:solidFill>
          </w14:textFill>
          <w:woUserID w:val="1"/>
        </w:rPr>
        <w:t>篇 推进经济领域改革，增强高质量振兴发展动力</w:t>
      </w:r>
      <w:bookmarkEnd w:id="36"/>
    </w:p>
    <w:p w14:paraId="1F6E397D">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坚持和完善社会主义基本经济制度，更好发挥经济体制改革牵引作用，纵深推进优化营商环境“一号改革工程”，推动重点领域、关键环节改革取得新突破，切实解决体制性障碍、机制性梗阻，激发各类经营主体活力，构筑区域竞争新优势，确保高质量发展行稳致远。</w:t>
      </w:r>
    </w:p>
    <w:p w14:paraId="1FB99060">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color w:val="000000" w:themeColor="text1"/>
          <w:sz w:val="32"/>
          <w:szCs w:val="32"/>
          <w:highlight w:val="none"/>
          <w14:textFill>
            <w14:solidFill>
              <w14:schemeClr w14:val="tx1"/>
            </w14:solidFill>
          </w14:textFill>
        </w:rPr>
      </w:pPr>
      <w:bookmarkStart w:id="37" w:name="_Toc2564"/>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 xml:space="preserve">第二十五章 </w:t>
      </w:r>
      <w:r>
        <w:rPr>
          <w:rFonts w:hint="eastAsia" w:ascii="楷体" w:hAnsi="楷体" w:eastAsia="楷体" w:cs="楷体"/>
          <w:b/>
          <w:bCs/>
          <w:color w:val="000000" w:themeColor="text1"/>
          <w:sz w:val="32"/>
          <w:szCs w:val="32"/>
          <w:highlight w:val="none"/>
          <w14:textFill>
            <w14:solidFill>
              <w14:schemeClr w14:val="tx1"/>
            </w14:solidFill>
          </w14:textFill>
        </w:rPr>
        <w:t>打造为企赋能的营商环境</w:t>
      </w:r>
      <w:bookmarkEnd w:id="37"/>
    </w:p>
    <w:p w14:paraId="6C5A5E10">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以市场主体需求为导向，聚焦企业全生命周期发展需要，推动营商环境从便利化向赋能化升级，着力打造市场化、法治化、国际化一流营商环境，让企业敢投、敢闯、敢干。</w:t>
      </w:r>
    </w:p>
    <w:p w14:paraId="75DDA4BA">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深入开展优化营商环境专项行动。</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打造高效便捷的政务环境，以数字赋能和集成改革为核心抓手，依托全市一体化政务服务平台，全面打通跨部门数据壁垒，推动更多高频涉企事项实现“一件事一次办”。围绕企业开办、项目审批、不动产登记等重点领域，进一步优化流程、压缩时限、降低成本，着力破解审批环节多、时限长等痛点堵点。</w:t>
      </w:r>
      <w:r>
        <w:rPr>
          <w:rFonts w:hint="eastAsia" w:ascii="仿宋" w:hAnsi="仿宋" w:eastAsia="仿宋" w:cs="仿宋"/>
          <w:color w:val="000000" w:themeColor="text1"/>
          <w:kern w:val="2"/>
          <w:sz w:val="32"/>
          <w:szCs w:val="32"/>
          <w:highlight w:val="none"/>
          <w:u w:val="none"/>
          <w:lang w:val="en-US" w:eastAsia="zh-CN" w:bidi="ar"/>
          <w14:textFill>
            <w14:solidFill>
              <w14:schemeClr w14:val="tx1"/>
            </w14:solidFill>
          </w14:textFill>
          <w:woUserID w:val="1"/>
        </w:rPr>
        <w:t>深化“热线+网格”基层治理模式与企业服务相融合</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，建立常态化政企沟通机制，及时响应和处理市场主体诉求，加快构建线上线下融合、城乡覆盖的一体化政务服务新格局，切实提升企业和群众的满意度和获得感。</w:t>
      </w:r>
    </w:p>
    <w:p w14:paraId="7AA6DDC8">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拓展开放包容的开放环境</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稳步推进规则、管理、标准等制度型开放，主动对接国家及省市重大开放战略，支持区内装备制造、绿色食品、跨境电商等重点企业“走出去”，参与区域协作与国际竞争。持续优化外商投资促进与服务保障体系，完善外资项目落地跟踪协调机制，着力引进一批技术含量高、带动作用强的优质外资项目。营造内外资企业一视同仁、公平竞争的市场氛围，提升东风区在区域发展格局中的吸引力和竞争力，为全区经济社会高质量发展注入新的开放动能。​</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14EB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4D33AF9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leftChars="0" w:right="0" w:firstLine="0" w:firstLineChars="0"/>
              <w:jc w:val="center"/>
              <w:rPr>
                <w:rFonts w:hint="default" w:ascii="Times New Roman" w:hAnsi="Times New Roman" w:eastAsia="仿宋_GB2312" w:cs="Times New Roman"/>
                <w:color w:val="000000" w:themeColor="text1"/>
                <w:kern w:val="2"/>
                <w:sz w:val="32"/>
                <w:szCs w:val="32"/>
                <w:highlight w:val="none"/>
                <w14:textFill>
                  <w14:solidFill>
                    <w14:schemeClr w14:val="tx1"/>
                  </w14:solidFill>
                </w14:textFill>
                <w:woUserID w:val="1"/>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1"/>
              </w:rPr>
              <w:t>专栏7-1  “十五五”</w:t>
            </w:r>
            <w:r>
              <w:rPr>
                <w:rFonts w:hint="default" w:ascii="Times New Roman" w:hAnsi="Times New Roman" w:eastAsia="微软雅黑" w:cs="Times New Roman"/>
                <w:color w:val="000000" w:themeColor="text1"/>
                <w:kern w:val="2"/>
                <w:sz w:val="24"/>
                <w:szCs w:val="24"/>
                <w:highlight w:val="none"/>
                <w:lang w:val="en-US" w:eastAsia="zh" w:bidi="ar"/>
                <w14:textFill>
                  <w14:solidFill>
                    <w14:schemeClr w14:val="tx1"/>
                  </w14:solidFill>
                </w14:textFill>
                <w:woUserID w:val="1"/>
              </w:rPr>
              <w:t>东风</w:t>
            </w: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1"/>
              </w:rPr>
              <w:t>区营商环境建设重点工程</w:t>
            </w:r>
          </w:p>
        </w:tc>
      </w:tr>
      <w:tr w14:paraId="0671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522DE3D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1.数字赋能政务服务</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。推进“一网通办”“跨区联办”，整合数据资源，立足本土经济特点，打造对俄贸易、老工业转型等特色“一件事”集成服务。2030年实现特色服务全覆盖，企业群众办事效率提升60%。</w:t>
            </w:r>
          </w:p>
          <w:p w14:paraId="790736C4">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2.高效响应闭环建设</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。落实涉企诉求闭环</w:t>
            </w:r>
            <w:r>
              <w:rPr>
                <w:rFonts w:hint="eastAsia" w:cs="Times New Roman"/>
                <w:color w:val="000000" w:themeColor="text1"/>
                <w:kern w:val="2"/>
                <w:sz w:val="24"/>
                <w:szCs w:val="24"/>
                <w:highlight w:val="none"/>
                <w:lang w:val="en-US" w:eastAsia="zh-CN" w:bidi="ar"/>
                <w14:textFill>
                  <w14:solidFill>
                    <w14:schemeClr w14:val="tx1"/>
                  </w14:solidFill>
                </w14:textFill>
                <w:woUserID w:val="1"/>
              </w:rPr>
              <w:t>解决</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机制，提升12345热线智能化、规范化水平，深化“网格+热线”融合，推进“未诉先办”，合理诉求接件响应率和满意率实现“双百”目标。</w:t>
            </w:r>
          </w:p>
          <w:p w14:paraId="7F2BD1FB">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3.惠企政策精准兑现</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。加大惠企政策归集力度，实现“应上尽上”，推行“点对点”推送、“免申即享”，配备政策管家全流程跟踪</w:t>
            </w:r>
            <w:r>
              <w:rPr>
                <w:rFonts w:hint="eastAsia" w:cs="Times New Roman"/>
                <w:color w:val="000000" w:themeColor="text1"/>
                <w:kern w:val="2"/>
                <w:sz w:val="24"/>
                <w:szCs w:val="24"/>
                <w:highlight w:val="none"/>
                <w:lang w:val="en-US" w:eastAsia="zh-CN" w:bidi="ar"/>
                <w14:textFill>
                  <w14:solidFill>
                    <w14:schemeClr w14:val="tx1"/>
                  </w14:solidFill>
                </w14:textFill>
                <w:woUserID w:val="1"/>
              </w:rPr>
              <w:t>服务</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，企业获得感大幅提升。</w:t>
            </w:r>
          </w:p>
          <w:p w14:paraId="6494E50F">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1"/>
                <w:szCs w:val="21"/>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4.信用体系深化应用</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。全面推广信用分级分类监管，拓展“信易贷”应用场景，提升信用修复“一件事”服务质效，信用生态持续优化。</w:t>
            </w:r>
          </w:p>
        </w:tc>
      </w:tr>
    </w:tbl>
    <w:p w14:paraId="22DD32D6">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color w:val="000000" w:themeColor="text1"/>
          <w:sz w:val="32"/>
          <w:szCs w:val="32"/>
          <w:highlight w:val="none"/>
          <w:lang w:val="en-US" w:eastAsia="zh-CN"/>
          <w14:textFill>
            <w14:solidFill>
              <w14:schemeClr w14:val="tx1"/>
            </w14:solidFill>
          </w14:textFill>
        </w:rPr>
      </w:pPr>
      <w:bookmarkStart w:id="38" w:name="_Toc28190"/>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 xml:space="preserve">第二十六章 </w:t>
      </w:r>
      <w:r>
        <w:rPr>
          <w:rFonts w:hint="eastAsia" w:ascii="楷体" w:hAnsi="楷体" w:eastAsia="楷体" w:cs="楷体"/>
          <w:b/>
          <w:bCs/>
          <w:color w:val="000000" w:themeColor="text1"/>
          <w:sz w:val="32"/>
          <w:szCs w:val="32"/>
          <w:highlight w:val="none"/>
          <w:lang w:val="en-US" w:eastAsia="zh-CN"/>
          <w14:textFill>
            <w14:solidFill>
              <w14:schemeClr w14:val="tx1"/>
            </w14:solidFill>
          </w14:textFill>
        </w:rPr>
        <w:t>促进民营经济发展壮大</w:t>
      </w:r>
      <w:bookmarkEnd w:id="38"/>
    </w:p>
    <w:p w14:paraId="77D6F9BD">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始终坚持“两个毫不动摇”，着力破除制约民营经济发展的体制机制障碍，全面构建亲清政商关系，全力支持民营经济做大做优做强，使其成为推动东风区高质量发展的生力军。</w:t>
      </w:r>
    </w:p>
    <w:p w14:paraId="186FC589">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第一节 深入落实民营经济促进法</w:t>
      </w:r>
      <w:r>
        <w:rPr>
          <w:rFonts w:hint="eastAsia" w:ascii="仿宋" w:hAnsi="仿宋" w:eastAsia="仿宋" w:cs="仿宋"/>
          <w:color w:val="000000" w:themeColor="text1"/>
          <w:highlight w:val="none"/>
          <w:lang w:val="en-US" w:eastAsia="zh-CN"/>
          <w14:textFill>
            <w14:solidFill>
              <w14:schemeClr w14:val="tx1"/>
            </w14:solidFill>
          </w14:textFill>
        </w:rPr>
        <w:t>。全面保障民营企业依法平等使用各类生产要素、公平参与市场竞争、获得同等法律保护。重点规范面向民营企业的各类行政检查行为，推行跨部门联合检查与“清单式”管理，减少对企业正常经营的无谓干扰。强化产权保护的执法与司法力度，依法严厉打击侵害企业产权和企业家合法权益的违法行为，建立知识产权侵权快速维权与惩罚性赔偿机制，为民营企业营造稳定、透明、可预期的发展环境。</w:t>
      </w:r>
    </w:p>
    <w:p w14:paraId="40365DF2">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14:textFill>
            <w14:solidFill>
              <w14:schemeClr w14:val="tx1"/>
            </w14:solidFill>
          </w14:textFill>
        </w:rPr>
        <w:t>构建亲清统一的新型政商关系</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健全政府守信践诺与履约监督机制，完善涉企行政事业性收费、政府性基金及经营服务性收费的长效监管体系，持续清理规范各类涉企收费。建立预防和化解拖欠中小企业账款问题的常态化工作机制，通过强化预算约束、加强审计监督、畅通投诉渠道等方式，切实维护中小企业合法权益。健全民营企业常态化纾困解难机制，完善涵盖信贷、债券、股权等多渠道的融资支持政策体系，有效缓解民营企业融资难题。</w:t>
      </w:r>
    </w:p>
    <w:p w14:paraId="0DB92BCF">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第三节 </w:t>
      </w:r>
      <w:r>
        <w:rPr>
          <w:rFonts w:hint="eastAsia" w:ascii="仿宋" w:hAnsi="仿宋" w:eastAsia="仿宋" w:cs="仿宋"/>
          <w:b/>
          <w:bCs/>
          <w:color w:val="000000" w:themeColor="text1"/>
          <w:highlight w:val="none"/>
          <w14:textFill>
            <w14:solidFill>
              <w14:schemeClr w14:val="tx1"/>
            </w14:solidFill>
          </w14:textFill>
        </w:rPr>
        <w:t>实施中小企业梯度培育计划</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支持个体工商户转型升级，促进大中小微企业在产业链、供应链、创新链上协同融通发展。引导和支持民营企业完善法人治理结构，加快建立产权清晰、权责明确、管理科学的现代企业制度。支持民营企业通过技术创新、管理提升、数字化转型实现高质量发展，鼓励其自觉践行新发展理念，积极参与社会公益、乡村振兴、稳定就业等工作，实现经济效益与社会效益的有机统一</w:t>
      </w:r>
      <w:r>
        <w:rPr>
          <w:rFonts w:hint="eastAsia" w:ascii="仿宋" w:hAnsi="仿宋" w:eastAsia="仿宋" w:cs="仿宋"/>
          <w:color w:val="000000" w:themeColor="text1"/>
          <w:highlight w:val="none"/>
          <w:lang w:eastAsia="zh-CN"/>
          <w14:textFill>
            <w14:solidFill>
              <w14:schemeClr w14:val="tx1"/>
            </w14:solidFill>
          </w14:textFill>
        </w:rPr>
        <w:t>。</w:t>
      </w:r>
    </w:p>
    <w:p w14:paraId="1F408CF4">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color w:val="000000" w:themeColor="text1"/>
          <w:sz w:val="32"/>
          <w:szCs w:val="32"/>
          <w:highlight w:val="none"/>
          <w:lang w:val="en-US" w:eastAsia="zh-CN"/>
          <w14:textFill>
            <w14:solidFill>
              <w14:schemeClr w14:val="tx1"/>
            </w14:solidFill>
          </w14:textFill>
        </w:rPr>
      </w:pPr>
      <w:bookmarkStart w:id="39" w:name="_Toc13119"/>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 xml:space="preserve">第二十七章 </w:t>
      </w:r>
      <w:r>
        <w:rPr>
          <w:rFonts w:hint="eastAsia" w:ascii="楷体" w:hAnsi="楷体" w:eastAsia="楷体" w:cs="楷体"/>
          <w:b/>
          <w:bCs/>
          <w:color w:val="000000" w:themeColor="text1"/>
          <w:sz w:val="32"/>
          <w:szCs w:val="32"/>
          <w:highlight w:val="none"/>
          <w:lang w:val="en-US" w:eastAsia="zh-CN"/>
          <w14:textFill>
            <w14:solidFill>
              <w14:schemeClr w14:val="tx1"/>
            </w14:solidFill>
          </w14:textFill>
        </w:rPr>
        <w:t>促进要素市场化配置</w:t>
      </w:r>
      <w:bookmarkEnd w:id="39"/>
    </w:p>
    <w:p w14:paraId="6F5EE562">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以破除要素自由流动的体制机制障碍为核心，推动有效市场和有为政府更好结合，引导各类要素协同向先进生产力集聚，为高质量发展注入强劲动力。</w:t>
      </w:r>
    </w:p>
    <w:p w14:paraId="31F987D4">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14:textFill>
            <w14:solidFill>
              <w14:schemeClr w14:val="tx1"/>
            </w14:solidFill>
          </w14:textFill>
        </w:rPr>
        <w:t>破除阻碍要素自由流动的体制机制障碍</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全面清理歧视性、隐蔽性市场准入限制</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严格执行“全国一张清单”管理模式，开展专项清理行动，坚决废除在资质许可、招投标、政府采购等方面针对不同所有制、不同规模企业设置的差异化门槛和隐形障碍。建立健全公平竞争审查的常态化机制，从源头上防止出台排除、限制竞争的政策措施。强化信用约束和失信惩戒，对阻碍要素自由流动的违规行为依法依规予以</w:t>
      </w:r>
      <w:r>
        <w:rPr>
          <w:rFonts w:hint="eastAsia" w:ascii="仿宋" w:hAnsi="仿宋" w:eastAsia="仿宋" w:cs="仿宋"/>
          <w:color w:val="000000" w:themeColor="text1"/>
          <w:highlight w:val="none"/>
          <w:lang w:val="en-US" w:eastAsia="zh-CN"/>
          <w14:textFill>
            <w14:solidFill>
              <w14:schemeClr w14:val="tx1"/>
            </w14:solidFill>
          </w14:textFill>
        </w:rPr>
        <w:t>查处</w:t>
      </w:r>
      <w:r>
        <w:rPr>
          <w:rFonts w:hint="eastAsia" w:ascii="仿宋" w:hAnsi="仿宋" w:eastAsia="仿宋" w:cs="仿宋"/>
          <w:color w:val="000000" w:themeColor="text1"/>
          <w:highlight w:val="none"/>
          <w14:textFill>
            <w14:solidFill>
              <w14:schemeClr w14:val="tx1"/>
            </w14:solidFill>
          </w14:textFill>
        </w:rPr>
        <w:t>并公开曝光，维护统一开放、竞争有序的市场秩序。</w:t>
      </w:r>
    </w:p>
    <w:p w14:paraId="60DAD2A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14:textFill>
            <w14:solidFill>
              <w14:schemeClr w14:val="tx1"/>
            </w14:solidFill>
          </w14:textFill>
        </w:rPr>
        <w:t>强化存量资源盘活利用</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完善企业兼并重组、破产重整、资产置换等政策落实机制，依法依规推进低效闲置工业用地、闲置楼宇和存量基础设施的盘活利用与优化升级。健全促进人才合理有序流动的政策体系，破除户籍、地域、身份、档案等制约，建立统一协调的劳动力流动管理与服务体系。积极培育本土数据要素型企业，搭建覆盖全区的统一数据管理平台，建设高质量、高价值的数据资源库和训练数据集，鼓励市场主体在保障安全的前提下开发利用公共数据，促进数据资源的高效流通与价值释放。</w:t>
      </w:r>
    </w:p>
    <w:p w14:paraId="698EE76C">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color w:val="000000" w:themeColor="text1"/>
          <w:sz w:val="32"/>
          <w:szCs w:val="32"/>
          <w:highlight w:val="none"/>
          <w:lang w:val="en-US" w:eastAsia="zh-CN"/>
          <w14:textFill>
            <w14:solidFill>
              <w14:schemeClr w14:val="tx1"/>
            </w14:solidFill>
          </w14:textFill>
        </w:rPr>
      </w:pPr>
      <w:bookmarkStart w:id="40" w:name="_Toc11646"/>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 xml:space="preserve">第二十八章 </w:t>
      </w:r>
      <w:r>
        <w:rPr>
          <w:rFonts w:hint="eastAsia" w:ascii="楷体" w:hAnsi="楷体" w:eastAsia="楷体" w:cs="楷体"/>
          <w:b/>
          <w:bCs/>
          <w:color w:val="000000" w:themeColor="text1"/>
          <w:sz w:val="32"/>
          <w:szCs w:val="32"/>
          <w:highlight w:val="none"/>
          <w:lang w:val="en-US" w:eastAsia="zh-CN"/>
          <w14:textFill>
            <w14:solidFill>
              <w14:schemeClr w14:val="tx1"/>
            </w14:solidFill>
          </w14:textFill>
        </w:rPr>
        <w:t>提高经济治理能力</w:t>
      </w:r>
      <w:bookmarkEnd w:id="40"/>
    </w:p>
    <w:p w14:paraId="62667D07">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以提升政策的科学性、协调性和执行力为核心，加快构建与现代市场经济体制相适应、与东风区发展阶段相匹配的经济治理体系，确保各项决策部署落地见效，有效应对风险挑战，持续推动经济实现质的有效提升和量的合理增长。</w:t>
      </w:r>
    </w:p>
    <w:p w14:paraId="06AEE78A">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深化财政体制改革</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优化财政收入结构，强化重点税源培育与监测，大力发展实体经济，提升高端制造业、现代服务业等对地方税收的贡献度，逐步提高税收收入在一般公共预算收入中的比重，增强财政的内生稳定性与抗风险能力。坚持“遏增量、化存量”并举，建立覆盖全区、穿透监测的地方政府债务常态化风险预警与评估机制，坚决遏制新增隐性债务。通过统筹预算安排、盘活存量资产、争取政策支持等多种途径，稳妥有序化解存量债务，牢牢守住不发生系统性、区域性风险的底线。强化预算绩效管理，优化财政支出结构，集中财力保障重大战略、重点领域和民生刚性支出，提高财政资金使用效益，为全区经济社会健康发展提供坚实可靠的财力支撑。</w:t>
      </w:r>
    </w:p>
    <w:p w14:paraId="299065FE">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1"/>
        </w:rPr>
      </w:pPr>
      <w:r>
        <w:rPr>
          <w:rFonts w:hint="eastAsia" w:ascii="仿宋" w:hAnsi="仿宋" w:eastAsia="仿宋" w:cs="仿宋"/>
          <w:b/>
          <w:bCs/>
          <w:color w:val="000000" w:themeColor="text1"/>
          <w:highlight w:val="none"/>
          <w:lang w:val="en-US" w:eastAsia="zh-CN"/>
          <w14:textFill>
            <w14:solidFill>
              <w14:schemeClr w14:val="tx1"/>
            </w14:solidFill>
          </w14:textFill>
        </w:rPr>
        <w:t>第二节 建立健全风险监测、预警和处置机制</w:t>
      </w:r>
      <w:r>
        <w:rPr>
          <w:rFonts w:hint="eastAsia" w:ascii="仿宋" w:hAnsi="仿宋" w:eastAsia="仿宋" w:cs="仿宋"/>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严厉打击非法集资、金融诈骗等各类非法金融活动。压实各方风险处置责任，完善风险化解的应急方案与长效机制。强化金融监管协调，提升穿透式监管能力，守住不发生系统性区域性金融风险的底线。通过提升治理能力、完善市场规则、优化公共服务，营造市场化、法治化、国际化的一流营商环境。</w:t>
      </w:r>
    </w:p>
    <w:p w14:paraId="73B88B27">
      <w:pPr>
        <w:pStyle w:val="2"/>
        <w:keepNext w:val="0"/>
        <w:keepLines w:val="0"/>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lang w:eastAsia="zh"/>
          <w14:textFill>
            <w14:solidFill>
              <w14:schemeClr w14:val="tx1"/>
            </w14:solidFill>
          </w14:textFill>
          <w:woUserID w:val="3"/>
        </w:rPr>
      </w:pPr>
      <w:bookmarkStart w:id="41" w:name="_Toc18438"/>
      <w:r>
        <w:rPr>
          <w:rFonts w:hint="default" w:ascii="Times New Roman" w:hAnsi="Times New Roman" w:cs="Times New Roman"/>
          <w:color w:val="000000" w:themeColor="text1"/>
          <w:highlight w:val="none"/>
          <w:lang w:eastAsia="zh"/>
          <w14:textFill>
            <w14:solidFill>
              <w14:schemeClr w14:val="tx1"/>
            </w14:solidFill>
          </w14:textFill>
          <w:woUserID w:val="3"/>
        </w:rPr>
        <w:t>第八篇 扩大高水平对外开放，拓展高质量振兴发展空间</w:t>
      </w:r>
      <w:bookmarkEnd w:id="41"/>
    </w:p>
    <w:p w14:paraId="7201462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深度融入高质量共建“一带一路”,积极参与“中蒙俄经济走廊”建设，统筹贸易、投资、通道、平台建设，努力建设我国向北开放</w:t>
      </w:r>
      <w:r>
        <w:rPr>
          <w:rFonts w:hint="eastAsia" w:ascii="仿宋" w:hAnsi="仿宋" w:eastAsia="仿宋" w:cs="仿宋"/>
          <w:color w:val="000000" w:themeColor="text1"/>
          <w:highlight w:val="none"/>
          <w:lang w:eastAsia="zh-CN"/>
          <w14:textFill>
            <w14:solidFill>
              <w14:schemeClr w14:val="tx1"/>
            </w14:solidFill>
          </w14:textFill>
        </w:rPr>
        <w:t>的</w:t>
      </w:r>
      <w:r>
        <w:rPr>
          <w:rFonts w:hint="eastAsia" w:ascii="仿宋" w:hAnsi="仿宋" w:eastAsia="仿宋" w:cs="仿宋"/>
          <w:color w:val="000000" w:themeColor="text1"/>
          <w:highlight w:val="none"/>
          <w14:textFill>
            <w14:solidFill>
              <w14:schemeClr w14:val="tx1"/>
            </w14:solidFill>
          </w14:textFill>
        </w:rPr>
        <w:t>重要节点。</w:t>
      </w:r>
    </w:p>
    <w:p w14:paraId="225136F7">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14:textFill>
            <w14:solidFill>
              <w14:schemeClr w14:val="tx1"/>
            </w14:solidFill>
          </w14:textFill>
          <w:woUserID w:val="3"/>
        </w:rPr>
      </w:pPr>
      <w:bookmarkStart w:id="42" w:name="_Toc27153"/>
      <w:r>
        <w:rPr>
          <w:rFonts w:hint="eastAsia" w:ascii="楷体" w:hAnsi="楷体" w:eastAsia="楷体" w:cs="楷体"/>
          <w:color w:val="000000" w:themeColor="text1"/>
          <w:highlight w:val="none"/>
          <w:lang w:eastAsia="zh"/>
          <w14:textFill>
            <w14:solidFill>
              <w14:schemeClr w14:val="tx1"/>
            </w14:solidFill>
          </w14:textFill>
          <w:woUserID w:val="3"/>
        </w:rPr>
        <w:t xml:space="preserve">第二十九章 </w:t>
      </w:r>
      <w:r>
        <w:rPr>
          <w:rFonts w:hint="eastAsia" w:ascii="楷体" w:hAnsi="楷体" w:eastAsia="楷体" w:cs="楷体"/>
          <w:b/>
          <w:bCs/>
          <w:color w:val="000000" w:themeColor="text1"/>
          <w:kern w:val="2"/>
          <w:sz w:val="32"/>
          <w:szCs w:val="32"/>
          <w:highlight w:val="none"/>
          <w14:textFill>
            <w14:solidFill>
              <w14:schemeClr w14:val="tx1"/>
            </w14:solidFill>
          </w14:textFill>
          <w:woUserID w:val="3"/>
        </w:rPr>
        <w:t>提高对外经贸合作水平</w:t>
      </w:r>
      <w:bookmarkEnd w:id="42"/>
    </w:p>
    <w:p w14:paraId="250D752A">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3"/>
        </w:rPr>
      </w:pPr>
      <w:r>
        <w:rPr>
          <w:rFonts w:hint="eastAsia" w:ascii="仿宋" w:hAnsi="仿宋" w:eastAsia="仿宋" w:cs="仿宋"/>
          <w:color w:val="000000" w:themeColor="text1"/>
          <w:highlight w:val="none"/>
          <w14:textFill>
            <w14:solidFill>
              <w14:schemeClr w14:val="tx1"/>
            </w14:solidFill>
          </w14:textFill>
          <w:woUserID w:val="3"/>
        </w:rPr>
        <w:t>立足区位优势，将深化对俄合作作为对外开放的首要战略，推动经贸合作向更广领域、更深层次、更高水平迈进</w:t>
      </w:r>
      <w:r>
        <w:rPr>
          <w:rFonts w:hint="eastAsia" w:ascii="仿宋" w:hAnsi="仿宋" w:eastAsia="仿宋" w:cs="仿宋"/>
          <w:color w:val="000000" w:themeColor="text1"/>
          <w:highlight w:val="none"/>
          <w:lang w:eastAsia="zh-CN"/>
          <w14:textFill>
            <w14:solidFill>
              <w14:schemeClr w14:val="tx1"/>
            </w14:solidFill>
          </w14:textFill>
          <w:woUserID w:val="3"/>
        </w:rPr>
        <w:t>，</w:t>
      </w:r>
      <w:r>
        <w:rPr>
          <w:rFonts w:hint="eastAsia" w:ascii="仿宋" w:hAnsi="仿宋" w:eastAsia="仿宋" w:cs="仿宋"/>
          <w:color w:val="000000" w:themeColor="text1"/>
          <w:highlight w:val="none"/>
          <w14:textFill>
            <w14:solidFill>
              <w14:schemeClr w14:val="tx1"/>
            </w14:solidFill>
          </w14:textFill>
          <w:woUserID w:val="3"/>
        </w:rPr>
        <w:t>扮演好</w:t>
      </w:r>
      <w:r>
        <w:rPr>
          <w:rFonts w:hint="eastAsia" w:ascii="仿宋" w:hAnsi="仿宋" w:eastAsia="仿宋" w:cs="仿宋"/>
          <w:color w:val="000000" w:themeColor="text1"/>
          <w:highlight w:val="none"/>
          <w:lang w:eastAsia="zh-CN"/>
          <w14:textFill>
            <w14:solidFill>
              <w14:schemeClr w14:val="tx1"/>
            </w14:solidFill>
          </w14:textFill>
          <w:woUserID w:val="3"/>
        </w:rPr>
        <w:t>“</w:t>
      </w:r>
      <w:r>
        <w:rPr>
          <w:rFonts w:hint="eastAsia" w:ascii="仿宋" w:hAnsi="仿宋" w:eastAsia="仿宋" w:cs="仿宋"/>
          <w:color w:val="000000" w:themeColor="text1"/>
          <w:highlight w:val="none"/>
          <w14:textFill>
            <w14:solidFill>
              <w14:schemeClr w14:val="tx1"/>
            </w14:solidFill>
          </w14:textFill>
          <w:woUserID w:val="3"/>
        </w:rPr>
        <w:t>买全俄卖全国、买全国卖全俄</w:t>
      </w:r>
      <w:r>
        <w:rPr>
          <w:rFonts w:hint="eastAsia" w:ascii="仿宋" w:hAnsi="仿宋" w:eastAsia="仿宋" w:cs="仿宋"/>
          <w:color w:val="000000" w:themeColor="text1"/>
          <w:highlight w:val="none"/>
          <w:lang w:eastAsia="zh-CN"/>
          <w14:textFill>
            <w14:solidFill>
              <w14:schemeClr w14:val="tx1"/>
            </w14:solidFill>
          </w14:textFill>
          <w:woUserID w:val="3"/>
        </w:rPr>
        <w:t>”</w:t>
      </w:r>
      <w:r>
        <w:rPr>
          <w:rFonts w:hint="eastAsia" w:ascii="仿宋" w:hAnsi="仿宋" w:eastAsia="仿宋" w:cs="仿宋"/>
          <w:color w:val="000000" w:themeColor="text1"/>
          <w:highlight w:val="none"/>
          <w:lang w:val="en-US" w:eastAsia="zh-CN"/>
          <w14:textFill>
            <w14:solidFill>
              <w14:schemeClr w14:val="tx1"/>
            </w14:solidFill>
          </w14:textFill>
          <w:woUserID w:val="3"/>
        </w:rPr>
        <w:t>双向</w:t>
      </w:r>
      <w:r>
        <w:rPr>
          <w:rFonts w:hint="eastAsia" w:ascii="仿宋" w:hAnsi="仿宋" w:eastAsia="仿宋" w:cs="仿宋"/>
          <w:color w:val="000000" w:themeColor="text1"/>
          <w:highlight w:val="none"/>
          <w14:textFill>
            <w14:solidFill>
              <w14:schemeClr w14:val="tx1"/>
            </w14:solidFill>
          </w14:textFill>
          <w:woUserID w:val="3"/>
        </w:rPr>
        <w:t>外贸中间</w:t>
      </w:r>
      <w:r>
        <w:rPr>
          <w:rFonts w:hint="eastAsia" w:ascii="仿宋" w:hAnsi="仿宋" w:eastAsia="仿宋" w:cs="仿宋"/>
          <w:color w:val="000000" w:themeColor="text1"/>
          <w:highlight w:val="none"/>
          <w:lang w:val="en-US" w:eastAsia="zh-CN"/>
          <w14:textFill>
            <w14:solidFill>
              <w14:schemeClr w14:val="tx1"/>
            </w14:solidFill>
          </w14:textFill>
          <w:woUserID w:val="3"/>
        </w:rPr>
        <w:t>人</w:t>
      </w:r>
      <w:r>
        <w:rPr>
          <w:rFonts w:hint="eastAsia" w:ascii="仿宋" w:hAnsi="仿宋" w:eastAsia="仿宋" w:cs="仿宋"/>
          <w:color w:val="000000" w:themeColor="text1"/>
          <w:highlight w:val="none"/>
          <w14:textFill>
            <w14:solidFill>
              <w14:schemeClr w14:val="tx1"/>
            </w14:solidFill>
          </w14:textFill>
          <w:woUserID w:val="3"/>
        </w:rPr>
        <w:t>的关键角色</w:t>
      </w:r>
      <w:r>
        <w:rPr>
          <w:rFonts w:hint="eastAsia" w:ascii="仿宋" w:hAnsi="仿宋" w:eastAsia="仿宋" w:cs="仿宋"/>
          <w:color w:val="000000" w:themeColor="text1"/>
          <w:highlight w:val="none"/>
          <w:lang w:eastAsia="zh"/>
          <w14:textFill>
            <w14:solidFill>
              <w14:schemeClr w14:val="tx1"/>
            </w14:solidFill>
          </w14:textFill>
          <w:woUserID w:val="3"/>
        </w:rPr>
        <w:t>。</w:t>
      </w:r>
    </w:p>
    <w:p w14:paraId="0ECE6648">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woUserID w:val="3"/>
        </w:rPr>
      </w:pPr>
      <w:r>
        <w:rPr>
          <w:rFonts w:hint="eastAsia" w:ascii="仿宋" w:hAnsi="仿宋" w:eastAsia="仿宋" w:cs="仿宋"/>
          <w:b/>
          <w:bCs/>
          <w:color w:val="000000" w:themeColor="text1"/>
          <w:highlight w:val="none"/>
          <w:lang w:val="en-US" w:eastAsia="zh-CN"/>
          <w14:textFill>
            <w14:solidFill>
              <w14:schemeClr w14:val="tx1"/>
            </w14:solidFill>
          </w14:textFill>
          <w:woUserID w:val="3"/>
        </w:rPr>
        <w:t xml:space="preserve">第一节 </w:t>
      </w:r>
      <w:r>
        <w:rPr>
          <w:rFonts w:hint="eastAsia" w:ascii="仿宋" w:hAnsi="仿宋" w:eastAsia="仿宋" w:cs="仿宋"/>
          <w:b/>
          <w:bCs/>
          <w:color w:val="000000" w:themeColor="text1"/>
          <w:highlight w:val="none"/>
          <w14:textFill>
            <w14:solidFill>
              <w14:schemeClr w14:val="tx1"/>
            </w14:solidFill>
          </w14:textFill>
          <w:woUserID w:val="3"/>
        </w:rPr>
        <w:t>深化对俄远东地区务实合作</w:t>
      </w:r>
      <w:r>
        <w:rPr>
          <w:rFonts w:hint="eastAsia" w:ascii="仿宋" w:hAnsi="仿宋" w:eastAsia="仿宋" w:cs="仿宋"/>
          <w:b/>
          <w:bCs/>
          <w:color w:val="000000" w:themeColor="text1"/>
          <w:highlight w:val="none"/>
          <w:lang w:eastAsia="zh"/>
          <w14:textFill>
            <w14:solidFill>
              <w14:schemeClr w14:val="tx1"/>
            </w14:solidFill>
          </w14:textFill>
          <w:woUserID w:val="3"/>
        </w:rPr>
        <w:t>。</w:t>
      </w:r>
      <w:r>
        <w:rPr>
          <w:rFonts w:hint="eastAsia" w:ascii="仿宋" w:hAnsi="仿宋" w:eastAsia="仿宋" w:cs="仿宋"/>
          <w:color w:val="000000" w:themeColor="text1"/>
          <w:highlight w:val="none"/>
          <w14:textFill>
            <w14:solidFill>
              <w14:schemeClr w14:val="tx1"/>
            </w14:solidFill>
          </w14:textFill>
          <w:woUserID w:val="3"/>
        </w:rPr>
        <w:t>巩固传统能源、矿产、木材等资源进口合作基础，积极拓展农业、科技创新等领域的合作空间。重点提升跨境贸易便利化水平，协调金融机构优化卢布</w:t>
      </w:r>
      <w:r>
        <w:rPr>
          <w:rFonts w:hint="eastAsia" w:ascii="仿宋" w:hAnsi="仿宋" w:eastAsia="仿宋" w:cs="仿宋"/>
          <w:color w:val="000000" w:themeColor="text1"/>
          <w:highlight w:val="none"/>
          <w:lang w:eastAsia="zh"/>
          <w14:textFill>
            <w14:solidFill>
              <w14:schemeClr w14:val="tx1"/>
            </w14:solidFill>
          </w14:textFill>
          <w:woUserID w:val="3"/>
        </w:rPr>
        <w:t>和</w:t>
      </w:r>
      <w:r>
        <w:rPr>
          <w:rFonts w:hint="eastAsia" w:ascii="仿宋" w:hAnsi="仿宋" w:eastAsia="仿宋" w:cs="仿宋"/>
          <w:color w:val="000000" w:themeColor="text1"/>
          <w:highlight w:val="none"/>
          <w14:textFill>
            <w14:solidFill>
              <w14:schemeClr w14:val="tx1"/>
            </w14:solidFill>
          </w14:textFill>
          <w:woUserID w:val="3"/>
        </w:rPr>
        <w:t>人民币跨境结算服务，探索使用本币结算、区块链等金融工具降低汇率风险与交易成本。同步简化外贸备案、通关、退税等流程，打造稳定、公平、透明、可预期的国际化营商环境，吸引更多外贸主体集聚。</w:t>
      </w:r>
    </w:p>
    <w:p w14:paraId="1958915B">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woUserID w:val="3"/>
        </w:rPr>
      </w:pPr>
      <w:r>
        <w:rPr>
          <w:rFonts w:hint="eastAsia" w:ascii="仿宋" w:hAnsi="仿宋" w:eastAsia="仿宋" w:cs="仿宋"/>
          <w:b/>
          <w:bCs/>
          <w:color w:val="000000" w:themeColor="text1"/>
          <w:highlight w:val="none"/>
          <w:lang w:val="en-US" w:eastAsia="zh-CN"/>
          <w14:textFill>
            <w14:solidFill>
              <w14:schemeClr w14:val="tx1"/>
            </w14:solidFill>
          </w14:textFill>
          <w:woUserID w:val="3"/>
        </w:rPr>
        <w:t xml:space="preserve">第二节 </w:t>
      </w:r>
      <w:r>
        <w:rPr>
          <w:rFonts w:hint="eastAsia" w:ascii="仿宋" w:hAnsi="仿宋" w:eastAsia="仿宋" w:cs="仿宋"/>
          <w:b/>
          <w:bCs/>
          <w:color w:val="000000" w:themeColor="text1"/>
          <w:highlight w:val="none"/>
          <w14:textFill>
            <w14:solidFill>
              <w14:schemeClr w14:val="tx1"/>
            </w14:solidFill>
          </w14:textFill>
          <w:woUserID w:val="3"/>
        </w:rPr>
        <w:t>培育壮大外向型产业与贸易新业态。</w:t>
      </w:r>
      <w:r>
        <w:rPr>
          <w:rFonts w:hint="eastAsia" w:ascii="仿宋" w:hAnsi="仿宋" w:eastAsia="仿宋" w:cs="仿宋"/>
          <w:color w:val="000000" w:themeColor="text1"/>
          <w:highlight w:val="none"/>
          <w14:textFill>
            <w14:solidFill>
              <w14:schemeClr w14:val="tx1"/>
            </w14:solidFill>
          </w14:textFill>
          <w:woUserID w:val="3"/>
        </w:rPr>
        <w:t>依托产业基础与俄方市场需求，积极承接产业转移，重点发展面向俄远东及欧洲市场的</w:t>
      </w:r>
      <w:r>
        <w:rPr>
          <w:rFonts w:hint="eastAsia" w:ascii="仿宋" w:hAnsi="仿宋" w:eastAsia="仿宋" w:cs="仿宋"/>
          <w:color w:val="000000" w:themeColor="text1"/>
          <w:highlight w:val="none"/>
          <w:lang w:val="en-US" w:eastAsia="zh-CN"/>
          <w14:textFill>
            <w14:solidFill>
              <w14:schemeClr w14:val="tx1"/>
            </w14:solidFill>
          </w14:textFill>
          <w:woUserID w:val="3"/>
        </w:rPr>
        <w:t>高端装备</w:t>
      </w:r>
      <w:r>
        <w:rPr>
          <w:rFonts w:hint="eastAsia" w:ascii="仿宋" w:hAnsi="仿宋" w:eastAsia="仿宋" w:cs="仿宋"/>
          <w:color w:val="000000" w:themeColor="text1"/>
          <w:highlight w:val="none"/>
          <w14:textFill>
            <w14:solidFill>
              <w14:schemeClr w14:val="tx1"/>
            </w14:solidFill>
          </w14:textFill>
          <w:woUserID w:val="3"/>
        </w:rPr>
        <w:t>、电子信息产品组装制造、纺织服装加工等劳动与技术密集型产业。大力培育以中间品贸易、绿色低碳产品贸易为代表的新增长点，鼓励企业开展境外商标注册、产品国际认证，提升产品附加值与国际竞争力。实施“外贸企业护航计划”，定期组织企业赴俄罗斯远东主要城市、日韩及中亚国家参加专业展会、进行市场考察，并提供精准的国别政策、市场动态、风险预警等信息咨询服务，支持企业稳健“走出去”。</w:t>
      </w:r>
    </w:p>
    <w:p w14:paraId="0120A419">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woUserID w:val="3"/>
        </w:rPr>
      </w:pPr>
      <w:r>
        <w:rPr>
          <w:rFonts w:hint="eastAsia" w:ascii="仿宋" w:hAnsi="仿宋" w:eastAsia="仿宋" w:cs="仿宋"/>
          <w:b/>
          <w:bCs/>
          <w:color w:val="000000" w:themeColor="text1"/>
          <w:highlight w:val="none"/>
          <w:lang w:val="en-US" w:eastAsia="zh-CN"/>
          <w14:textFill>
            <w14:solidFill>
              <w14:schemeClr w14:val="tx1"/>
            </w14:solidFill>
          </w14:textFill>
          <w:woUserID w:val="3"/>
        </w:rPr>
        <w:t xml:space="preserve">第三节 </w:t>
      </w:r>
      <w:r>
        <w:rPr>
          <w:rFonts w:hint="eastAsia" w:ascii="仿宋" w:hAnsi="仿宋" w:eastAsia="仿宋" w:cs="仿宋"/>
          <w:b/>
          <w:bCs/>
          <w:color w:val="000000" w:themeColor="text1"/>
          <w:highlight w:val="none"/>
          <w14:textFill>
            <w14:solidFill>
              <w14:schemeClr w14:val="tx1"/>
            </w14:solidFill>
          </w14:textFill>
          <w:woUserID w:val="3"/>
        </w:rPr>
        <w:t>构建多元化经贸交流合作平台。</w:t>
      </w:r>
      <w:r>
        <w:rPr>
          <w:rFonts w:hint="eastAsia" w:ascii="仿宋" w:hAnsi="仿宋" w:eastAsia="仿宋" w:cs="仿宋"/>
          <w:color w:val="000000" w:themeColor="text1"/>
          <w:highlight w:val="none"/>
          <w14:textFill>
            <w14:solidFill>
              <w14:schemeClr w14:val="tx1"/>
            </w14:solidFill>
          </w14:textFill>
          <w:woUserID w:val="3"/>
        </w:rPr>
        <w:t>充分发挥中俄博览会、哈洽会、佳木斯农机展销会等各类经贸平台的桥梁作用，积极策划举办东风区对俄合作专题推介会、企业对接会。推动与俄远东哈巴罗夫斯克、共青城等</w:t>
      </w:r>
      <w:r>
        <w:rPr>
          <w:rFonts w:hint="eastAsia" w:ascii="仿宋" w:hAnsi="仿宋" w:eastAsia="仿宋" w:cs="仿宋"/>
          <w:color w:val="000000" w:themeColor="text1"/>
          <w:highlight w:val="none"/>
          <w:lang w:eastAsia="zh"/>
          <w14:textFill>
            <w14:solidFill>
              <w14:schemeClr w14:val="tx1"/>
            </w14:solidFill>
          </w14:textFill>
          <w:woUserID w:val="3"/>
        </w:rPr>
        <w:t>城市</w:t>
      </w:r>
      <w:r>
        <w:rPr>
          <w:rFonts w:hint="eastAsia" w:ascii="仿宋" w:hAnsi="仿宋" w:eastAsia="仿宋" w:cs="仿宋"/>
          <w:color w:val="000000" w:themeColor="text1"/>
          <w:highlight w:val="none"/>
          <w14:textFill>
            <w14:solidFill>
              <w14:schemeClr w14:val="tx1"/>
            </w14:solidFill>
          </w14:textFill>
          <w:woUserID w:val="3"/>
        </w:rPr>
        <w:t>建立区级友好合作关系，完善政府、商协会、企业间常态化交流机制。鼓励区内有实力的企业探索在俄方境内建设海外仓、分拨中心或合资工厂，并积极吸引俄资俄企来我区投资兴业，形成双向投资、互利共赢的开放新格局。</w:t>
      </w:r>
    </w:p>
    <w:p w14:paraId="460B47DB">
      <w:pPr>
        <w:pStyle w:val="3"/>
        <w:keepNext w:val="0"/>
        <w:keepLines w:val="0"/>
        <w:pageBreakBefore w:val="0"/>
        <w:widowControl w:val="0"/>
        <w:kinsoku/>
        <w:wordWrap/>
        <w:topLinePunct w:val="0"/>
        <w:autoSpaceDN/>
        <w:bidi w:val="0"/>
        <w:snapToGrid w:val="0"/>
        <w:spacing w:beforeAutospacing="0" w:afterAutospacing="0" w:line="600" w:lineRule="exact"/>
        <w:ind w:firstLine="0" w:firstLineChars="0"/>
        <w:jc w:val="center"/>
        <w:rPr>
          <w:rFonts w:hint="eastAsia" w:ascii="楷体" w:hAnsi="楷体" w:eastAsia="楷体" w:cs="楷体"/>
          <w:color w:val="000000" w:themeColor="text1"/>
          <w:highlight w:val="none"/>
          <w14:textFill>
            <w14:solidFill>
              <w14:schemeClr w14:val="tx1"/>
            </w14:solidFill>
          </w14:textFill>
          <w:woUserID w:val="3"/>
        </w:rPr>
      </w:pPr>
      <w:bookmarkStart w:id="43" w:name="_Toc18106"/>
      <w:r>
        <w:rPr>
          <w:rFonts w:hint="eastAsia" w:ascii="楷体" w:hAnsi="楷体" w:eastAsia="楷体" w:cs="楷体"/>
          <w:color w:val="000000" w:themeColor="text1"/>
          <w:highlight w:val="none"/>
          <w:lang w:eastAsia="zh"/>
          <w14:textFill>
            <w14:solidFill>
              <w14:schemeClr w14:val="tx1"/>
            </w14:solidFill>
          </w14:textFill>
          <w:woUserID w:val="3"/>
        </w:rPr>
        <w:t>第三十章 发展外向型产业集群</w:t>
      </w:r>
      <w:bookmarkEnd w:id="43"/>
    </w:p>
    <w:p w14:paraId="23FB8027">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着力推动产业与开放深度融合，构建特色鲜明、竞争力强的“出口导向型”产业集群，打造全市对俄合作的产业高地。</w:t>
      </w:r>
    </w:p>
    <w:p w14:paraId="3ADD9592">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lang w:eastAsia="zh-CN"/>
          <w14:textFill>
            <w14:solidFill>
              <w14:schemeClr w14:val="tx1"/>
            </w14:solidFill>
          </w14:textFill>
        </w:rPr>
        <w:t>聚力发展适俄优势装备制造集群。</w:t>
      </w:r>
      <w:r>
        <w:rPr>
          <w:rFonts w:hint="eastAsia" w:ascii="仿宋" w:hAnsi="仿宋" w:eastAsia="仿宋" w:cs="仿宋"/>
          <w:color w:val="000000" w:themeColor="text1"/>
          <w:highlight w:val="none"/>
          <w:lang w:eastAsia="zh-CN"/>
          <w14:textFill>
            <w14:solidFill>
              <w14:schemeClr w14:val="tx1"/>
            </w14:solidFill>
          </w14:textFill>
        </w:rPr>
        <w:t>紧密对接俄远东地区在基础设施升级、矿产开发、船舶更新等领域的需求，支持佳煤机、松辽二船厂等区内龙头企业，针对性研发和生产适用于极寒工况、符合俄方技术标准的矿山掘进设备、港口作业机械、内河运输船舶及特种工程车辆。推动企业出口模式从单一产品出口向 “产品+技术+标准+服务” 整体解决方案转型，鼓励提供设备融资租赁、远程运维、技术培训、售后保障等增值服务，延长价值链，提升客户黏性与利润空间。</w:t>
      </w:r>
    </w:p>
    <w:p w14:paraId="0DFAA95B">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lang w:eastAsia="zh-CN"/>
          <w14:textFill>
            <w14:solidFill>
              <w14:schemeClr w14:val="tx1"/>
            </w14:solidFill>
          </w14:textFill>
        </w:rPr>
        <w:t>打造林木资源跨境合作加工集群。</w:t>
      </w:r>
      <w:r>
        <w:rPr>
          <w:rFonts w:hint="eastAsia" w:ascii="仿宋" w:hAnsi="仿宋" w:eastAsia="仿宋" w:cs="仿宋"/>
          <w:color w:val="000000" w:themeColor="text1"/>
          <w:highlight w:val="none"/>
          <w:lang w:eastAsia="zh-CN"/>
          <w14:textFill>
            <w14:solidFill>
              <w14:schemeClr w14:val="tx1"/>
            </w14:solidFill>
          </w14:textFill>
        </w:rPr>
        <w:t>充分利用俄罗斯丰富的木材资源与</w:t>
      </w:r>
      <w:r>
        <w:rPr>
          <w:rFonts w:hint="eastAsia" w:ascii="仿宋" w:hAnsi="仿宋" w:eastAsia="仿宋" w:cs="仿宋"/>
          <w:color w:val="000000" w:themeColor="text1"/>
          <w:highlight w:val="none"/>
          <w:lang w:val="en-US" w:eastAsia="zh-CN"/>
          <w14:textFill>
            <w14:solidFill>
              <w14:schemeClr w14:val="tx1"/>
            </w14:solidFill>
          </w14:textFill>
        </w:rPr>
        <w:t>东风区</w:t>
      </w:r>
      <w:r>
        <w:rPr>
          <w:rFonts w:hint="eastAsia" w:ascii="仿宋" w:hAnsi="仿宋" w:eastAsia="仿宋" w:cs="仿宋"/>
          <w:color w:val="000000" w:themeColor="text1"/>
          <w:highlight w:val="none"/>
          <w:lang w:eastAsia="zh-CN"/>
          <w14:textFill>
            <w14:solidFill>
              <w14:schemeClr w14:val="tx1"/>
            </w14:solidFill>
          </w14:textFill>
        </w:rPr>
        <w:t>的加工能力，探索与俄方建立长期稳定的林业资源合作开发机制。重点引进和培育木材精深加工企业，发展高档建筑模板、集成材、定制家具构件、木结构房屋预制件等高附加值产品，严格环保标准，推动产业向绿色化、高端化发展，避免同质化竞争，将跨境资源转化为本地优势产业。</w:t>
      </w:r>
    </w:p>
    <w:p w14:paraId="60195DFD">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第三节 </w:t>
      </w:r>
      <w:r>
        <w:rPr>
          <w:rFonts w:hint="eastAsia" w:ascii="仿宋" w:hAnsi="仿宋" w:eastAsia="仿宋" w:cs="仿宋"/>
          <w:b/>
          <w:bCs/>
          <w:color w:val="000000" w:themeColor="text1"/>
          <w:highlight w:val="none"/>
          <w:lang w:eastAsia="zh-CN"/>
          <w14:textFill>
            <w14:solidFill>
              <w14:schemeClr w14:val="tx1"/>
            </w14:solidFill>
          </w14:textFill>
        </w:rPr>
        <w:t>拓展新兴贸易领域与服务产业集群。</w:t>
      </w:r>
      <w:r>
        <w:rPr>
          <w:rFonts w:hint="eastAsia" w:ascii="仿宋" w:hAnsi="仿宋" w:eastAsia="仿宋" w:cs="仿宋"/>
          <w:color w:val="000000" w:themeColor="text1"/>
          <w:highlight w:val="none"/>
          <w:lang w:eastAsia="zh-CN"/>
          <w14:textFill>
            <w14:solidFill>
              <w14:schemeClr w14:val="tx1"/>
            </w14:solidFill>
          </w14:textFill>
        </w:rPr>
        <w:t>推动对俄贸易从传统的机电、农产品向多元化拓展。大力发展对俄跨境电子商务，支持建设集产品展示、线下体验、直播销售等功能于一体的跨境电商O2O体验中心。积极培育服务贸易，探索在文化教育、旅游康养、软件开发等服务领域的对俄合作。依托我区制造业基础，发展面向</w:t>
      </w:r>
      <w:r>
        <w:rPr>
          <w:rFonts w:hint="eastAsia" w:ascii="仿宋" w:hAnsi="仿宋" w:eastAsia="仿宋" w:cs="仿宋"/>
          <w:color w:val="000000" w:themeColor="text1"/>
          <w:highlight w:val="none"/>
          <w:lang w:val="en-US" w:eastAsia="zh-CN"/>
          <w14:textFill>
            <w14:solidFill>
              <w14:schemeClr w14:val="tx1"/>
            </w14:solidFill>
          </w14:textFill>
        </w:rPr>
        <w:t>俄罗斯</w:t>
      </w:r>
      <w:r>
        <w:rPr>
          <w:rFonts w:hint="eastAsia" w:ascii="仿宋" w:hAnsi="仿宋" w:eastAsia="仿宋" w:cs="仿宋"/>
          <w:color w:val="000000" w:themeColor="text1"/>
          <w:highlight w:val="none"/>
          <w:lang w:eastAsia="zh-CN"/>
          <w14:textFill>
            <w14:solidFill>
              <w14:schemeClr w14:val="tx1"/>
            </w14:solidFill>
          </w14:textFill>
        </w:rPr>
        <w:t>的维修维护、技术咨询、物流仓储等生产性服务业，构建“贸易带动产业、产业支撑贸易”的良性循环，最终将东风区建设成为集生产加工、贸易结算、物流组织、综合服务于一体的对俄合作核心功能区。</w:t>
      </w:r>
    </w:p>
    <w:p w14:paraId="7A4D9595">
      <w:pPr>
        <w:pStyle w:val="2"/>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color w:val="000000" w:themeColor="text1"/>
          <w:kern w:val="2"/>
          <w:highlight w:val="none"/>
          <w:lang w:eastAsia="zh-CN"/>
          <w14:textFill>
            <w14:solidFill>
              <w14:schemeClr w14:val="tx1"/>
            </w14:solidFill>
          </w14:textFill>
          <w:woUserID w:val="3"/>
        </w:rPr>
      </w:pPr>
      <w:bookmarkStart w:id="44" w:name="_Toc24914"/>
      <w:r>
        <w:rPr>
          <w:rFonts w:hint="eastAsia" w:ascii="楷体" w:hAnsi="楷体" w:eastAsia="楷体" w:cs="楷体"/>
          <w:b/>
          <w:bCs/>
          <w:color w:val="000000" w:themeColor="text1"/>
          <w:kern w:val="2"/>
          <w:highlight w:val="none"/>
          <w:lang w:eastAsia="zh"/>
          <w14:textFill>
            <w14:solidFill>
              <w14:schemeClr w14:val="tx1"/>
            </w14:solidFill>
          </w14:textFill>
          <w:woUserID w:val="3"/>
        </w:rPr>
        <w:t xml:space="preserve">第三十一章 </w:t>
      </w:r>
      <w:r>
        <w:rPr>
          <w:rFonts w:hint="eastAsia" w:ascii="楷体" w:hAnsi="楷体" w:eastAsia="楷体" w:cs="楷体"/>
          <w:b/>
          <w:bCs/>
          <w:color w:val="000000" w:themeColor="text1"/>
          <w:kern w:val="2"/>
          <w:highlight w:val="none"/>
          <w:lang w:eastAsia="zh-CN"/>
          <w14:textFill>
            <w14:solidFill>
              <w14:schemeClr w14:val="tx1"/>
            </w14:solidFill>
          </w14:textFill>
          <w:woUserID w:val="3"/>
        </w:rPr>
        <w:t>打通江海联运通道</w:t>
      </w:r>
      <w:bookmarkEnd w:id="44"/>
    </w:p>
    <w:p w14:paraId="7C882C7C">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打通并做大做强江海联运通道，全力推动“通道经济”向“落地加工、产业集聚”的“口岸经济”转型。</w:t>
      </w:r>
    </w:p>
    <w:p w14:paraId="569306CB">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lang w:eastAsia="zh-CN"/>
          <w14:textFill>
            <w14:solidFill>
              <w14:schemeClr w14:val="tx1"/>
            </w14:solidFill>
          </w14:textFill>
        </w:rPr>
        <w:t>全力推动佳木斯港改造升级与航运合作。</w:t>
      </w:r>
      <w:r>
        <w:rPr>
          <w:rFonts w:hint="eastAsia" w:ascii="仿宋" w:hAnsi="仿宋" w:eastAsia="仿宋" w:cs="仿宋"/>
          <w:color w:val="000000" w:themeColor="text1"/>
          <w:highlight w:val="none"/>
          <w:lang w:eastAsia="zh-CN"/>
          <w14:textFill>
            <w14:solidFill>
              <w14:schemeClr w14:val="tx1"/>
            </w14:solidFill>
          </w14:textFill>
        </w:rPr>
        <w:t>积极对接省市港口发展规划，支持佳木斯港进行基础设施智能化、专业化改造，提升集装箱、大宗散货、冷链物流的吞吐能力和作业效率。主动参与省、市层面与俄方关于航道维护、港口协作、航线开发的谈判与合作，共同探索开通经</w:t>
      </w:r>
      <w:r>
        <w:rPr>
          <w:rFonts w:hint="eastAsia" w:ascii="仿宋" w:hAnsi="仿宋" w:eastAsia="仿宋" w:cs="仿宋"/>
          <w:color w:val="000000" w:themeColor="text1"/>
          <w:highlight w:val="none"/>
          <w:lang w:val="en-US" w:eastAsia="zh-CN"/>
          <w14:textFill>
            <w14:solidFill>
              <w14:schemeClr w14:val="tx1"/>
            </w14:solidFill>
          </w14:textFill>
        </w:rPr>
        <w:t>俄罗斯</w:t>
      </w:r>
      <w:r>
        <w:rPr>
          <w:rFonts w:hint="eastAsia" w:ascii="仿宋" w:hAnsi="仿宋" w:eastAsia="仿宋" w:cs="仿宋"/>
          <w:color w:val="000000" w:themeColor="text1"/>
          <w:highlight w:val="none"/>
          <w:lang w:eastAsia="zh-CN"/>
          <w14:textFill>
            <w14:solidFill>
              <w14:schemeClr w14:val="tx1"/>
            </w14:solidFill>
          </w14:textFill>
        </w:rPr>
        <w:t>港口出海，抵达日韩及我国东南沿海的固定班轮航线，初步构建“江海联运”物流模式。着力引进大型航运物流企业，培育壮大本地外贸船队和货代企业主体规模。</w:t>
      </w:r>
    </w:p>
    <w:p w14:paraId="10A0D617">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lang w:eastAsia="zh-CN"/>
          <w14:textFill>
            <w14:solidFill>
              <w14:schemeClr w14:val="tx1"/>
            </w14:solidFill>
          </w14:textFill>
        </w:rPr>
        <w:t>创新“互贸+加工+电商”一体化发展模式。</w:t>
      </w:r>
      <w:r>
        <w:rPr>
          <w:rFonts w:hint="eastAsia" w:ascii="仿宋" w:hAnsi="仿宋" w:eastAsia="仿宋" w:cs="仿宋"/>
          <w:color w:val="000000" w:themeColor="text1"/>
          <w:highlight w:val="none"/>
          <w:lang w:eastAsia="zh-CN"/>
          <w14:textFill>
            <w14:solidFill>
              <w14:schemeClr w14:val="tx1"/>
            </w14:solidFill>
          </w14:textFill>
        </w:rPr>
        <w:t>坚持“进口抓落地加工、出口抓增值制造”的原则。对于进口的俄罗斯粮食、水产品、木材等资源，规划建设进口资源精深加工区，配套保税、冷链仓储设施，吸引加工企业入驻，实现“原字号”进口向“制成品”出口或内销的转变。对于出口的本地产品，加快建设出口货物集散基地，整合周边地区货源，提供拼箱、物流一体化服务。深化“互市贸易区”与加工园区、电商平台的联动，实现“互贸商品落地加工、电商平台线上分销、加工产品通过渠道出口”的产业链闭环。</w:t>
      </w:r>
    </w:p>
    <w:p w14:paraId="167B417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第三节 </w:t>
      </w:r>
      <w:r>
        <w:rPr>
          <w:rFonts w:hint="eastAsia" w:ascii="仿宋" w:hAnsi="仿宋" w:eastAsia="仿宋" w:cs="仿宋"/>
          <w:b/>
          <w:bCs/>
          <w:color w:val="000000" w:themeColor="text1"/>
          <w:highlight w:val="none"/>
          <w:lang w:eastAsia="zh-CN"/>
          <w14:textFill>
            <w14:solidFill>
              <w14:schemeClr w14:val="tx1"/>
            </w14:solidFill>
          </w14:textFill>
        </w:rPr>
        <w:t>构建内外联动的产业链与供应链体系。</w:t>
      </w:r>
      <w:r>
        <w:rPr>
          <w:rFonts w:hint="eastAsia" w:ascii="仿宋" w:hAnsi="仿宋" w:eastAsia="仿宋" w:cs="仿宋"/>
          <w:color w:val="000000" w:themeColor="text1"/>
          <w:highlight w:val="none"/>
          <w:lang w:eastAsia="zh-CN"/>
          <w14:textFill>
            <w14:solidFill>
              <w14:schemeClr w14:val="tx1"/>
            </w14:solidFill>
          </w14:textFill>
        </w:rPr>
        <w:t>依托江海联运通道带来的物流成本优势，积极承接国内东部沿海地区的产业转移，吸引外向型加工制造企业落户。同时，鼓励区内企业与</w:t>
      </w:r>
      <w:r>
        <w:rPr>
          <w:rFonts w:hint="eastAsia" w:ascii="仿宋" w:hAnsi="仿宋" w:eastAsia="仿宋" w:cs="仿宋"/>
          <w:color w:val="000000" w:themeColor="text1"/>
          <w:highlight w:val="none"/>
          <w:lang w:val="en-US" w:eastAsia="zh-CN"/>
          <w14:textFill>
            <w14:solidFill>
              <w14:schemeClr w14:val="tx1"/>
            </w14:solidFill>
          </w14:textFill>
        </w:rPr>
        <w:t>俄罗斯</w:t>
      </w:r>
      <w:r>
        <w:rPr>
          <w:rFonts w:hint="eastAsia" w:ascii="仿宋" w:hAnsi="仿宋" w:eastAsia="仿宋" w:cs="仿宋"/>
          <w:color w:val="000000" w:themeColor="text1"/>
          <w:highlight w:val="none"/>
          <w:lang w:eastAsia="zh-CN"/>
          <w14:textFill>
            <w14:solidFill>
              <w14:schemeClr w14:val="tx1"/>
            </w14:solidFill>
          </w14:textFill>
        </w:rPr>
        <w:t>伙伴合作，在境外共建原材料基地、初级加工厂，在国内进行精深加工和终端制造，构建“两头在外”或“一头在内、一头在外”的跨境产业链。通过优化进出口货物品类，用好境内外市场与资源，将东风区打造成为连接国内国际双循环、具有重要影响力的区域性物流组织中心和对外贸易加工基地，为外向型经济提供持续强大的发展动力。</w:t>
      </w:r>
    </w:p>
    <w:p w14:paraId="479F9373">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黑体" w:hAnsi="黑体" w:eastAsia="黑体" w:cs="黑体"/>
          <w:b w:val="0"/>
          <w:bCs/>
          <w:color w:val="000000" w:themeColor="text1"/>
          <w:highlight w:val="none"/>
          <w:lang w:val="en-US" w:eastAsia="zh-CN"/>
          <w14:textFill>
            <w14:solidFill>
              <w14:schemeClr w14:val="tx1"/>
            </w14:solidFill>
          </w14:textFill>
        </w:rPr>
      </w:pPr>
      <w:bookmarkStart w:id="45" w:name="_Toc21759"/>
      <w:r>
        <w:rPr>
          <w:rFonts w:hint="eastAsia" w:ascii="黑体" w:hAnsi="黑体" w:eastAsia="黑体" w:cs="黑体"/>
          <w:b w:val="0"/>
          <w:bCs/>
          <w:color w:val="000000" w:themeColor="text1"/>
          <w:highlight w:val="none"/>
          <w:lang w:val="en-US" w:eastAsia="zh-CN"/>
          <w14:textFill>
            <w14:solidFill>
              <w14:schemeClr w14:val="tx1"/>
            </w14:solidFill>
          </w14:textFill>
        </w:rPr>
        <w:t>第九篇</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eastAsia" w:ascii="黑体" w:hAnsi="黑体" w:eastAsia="黑体" w:cs="黑体"/>
          <w:b w:val="0"/>
          <w:bCs/>
          <w:color w:val="000000" w:themeColor="text1"/>
          <w:highlight w:val="none"/>
          <w:lang w:val="en-US" w:eastAsia="zh-CN"/>
          <w14:textFill>
            <w14:solidFill>
              <w14:schemeClr w14:val="tx1"/>
            </w14:solidFill>
          </w14:textFill>
        </w:rPr>
        <w:t>构建现代化基础设施体系，支撑经济社会高质量发</w:t>
      </w:r>
      <w:bookmarkEnd w:id="45"/>
      <w:bookmarkStart w:id="46" w:name="_Toc28681"/>
      <w:r>
        <w:rPr>
          <w:rFonts w:hint="eastAsia" w:ascii="黑体" w:hAnsi="黑体" w:eastAsia="黑体" w:cs="黑体"/>
          <w:b w:val="0"/>
          <w:bCs/>
          <w:color w:val="000000" w:themeColor="text1"/>
          <w:highlight w:val="none"/>
          <w:lang w:val="en-US" w:eastAsia="zh-CN"/>
          <w14:textFill>
            <w14:solidFill>
              <w14:schemeClr w14:val="tx1"/>
            </w14:solidFill>
          </w14:textFill>
        </w:rPr>
        <w:t>展</w:t>
      </w:r>
      <w:bookmarkEnd w:id="46"/>
    </w:p>
    <w:p w14:paraId="5D5203B5">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加强基础设施统筹规划，推动传统基础设施更新和数智化改造，适度超前建设新型基础设施，推进城市平急两用基础设施建设，优化布局、结构、功能和发展模式，促进集成融合，提升安全韧性和运营可持续性。</w:t>
      </w:r>
    </w:p>
    <w:p w14:paraId="15E00616">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47" w:name="_Toc15211"/>
      <w:r>
        <w:rPr>
          <w:rFonts w:hint="eastAsia" w:ascii="楷体" w:hAnsi="楷体" w:eastAsia="楷体" w:cs="楷体"/>
          <w:color w:val="000000" w:themeColor="text1"/>
          <w:highlight w:val="none"/>
          <w:lang w:val="en-US" w:eastAsia="zh-CN"/>
          <w14:textFill>
            <w14:solidFill>
              <w14:schemeClr w14:val="tx1"/>
            </w14:solidFill>
          </w14:textFill>
        </w:rPr>
        <w:t>第三十二章 优化区域综合交通网络</w:t>
      </w:r>
      <w:bookmarkEnd w:id="47"/>
    </w:p>
    <w:p w14:paraId="17263A4B">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以提升综合交通枢纽能级和网络效率为核心，统筹铁路、公路、航空、水运等多种运输方式，加快构建布局完善、立体互联、智慧绿色、安全可靠的现代化综合交通运输体系，为区域经济社会高质量发展提供强力支撑。</w:t>
      </w:r>
    </w:p>
    <w:p w14:paraId="0619A6AE">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14:textFill>
            <w14:solidFill>
              <w14:schemeClr w14:val="tx1"/>
            </w14:solidFill>
          </w14:textFill>
        </w:rPr>
        <w:t>完善交通网络</w:t>
      </w:r>
      <w:r>
        <w:rPr>
          <w:rFonts w:hint="eastAsia" w:ascii="仿宋" w:hAnsi="仿宋" w:eastAsia="仿宋" w:cs="仿宋"/>
          <w:color w:val="000000" w:themeColor="text1"/>
          <w:highlight w:val="none"/>
          <w14:textFill>
            <w14:solidFill>
              <w14:schemeClr w14:val="tx1"/>
            </w14:solidFill>
          </w14:textFill>
        </w:rPr>
        <w:t>。配合推进途经本区域的高速铁路、干线铁路建设，强化与佳木斯主城区及周边哈尔滨、牡丹江等城市的快速联系。依托</w:t>
      </w:r>
      <w:r>
        <w:rPr>
          <w:rFonts w:hint="eastAsia" w:ascii="仿宋" w:hAnsi="仿宋" w:eastAsia="仿宋" w:cs="仿宋"/>
          <w:color w:val="000000" w:themeColor="text1"/>
          <w:highlight w:val="none"/>
          <w:lang w:val="en-US" w:eastAsia="zh-CN"/>
          <w14:textFill>
            <w14:solidFill>
              <w14:schemeClr w14:val="tx1"/>
            </w14:solidFill>
          </w14:textFill>
        </w:rPr>
        <w:t>佳木斯</w:t>
      </w:r>
      <w:r>
        <w:rPr>
          <w:rFonts w:hint="eastAsia" w:ascii="仿宋" w:hAnsi="仿宋" w:eastAsia="仿宋" w:cs="仿宋"/>
          <w:color w:val="000000" w:themeColor="text1"/>
          <w:highlight w:val="none"/>
          <w14:textFill>
            <w14:solidFill>
              <w14:schemeClr w14:val="tx1"/>
            </w14:solidFill>
          </w14:textFill>
        </w:rPr>
        <w:t>机场改扩建项目，提升航空客货运能级，开辟和加密国内重点城市航线，构建立体化对外通道体系。以优化区内路网结构为重点，实施</w:t>
      </w:r>
      <w:r>
        <w:rPr>
          <w:rFonts w:hint="eastAsia" w:ascii="仿宋" w:hAnsi="仿宋" w:eastAsia="仿宋" w:cs="仿宋"/>
          <w:color w:val="000000" w:themeColor="text1"/>
          <w:highlight w:val="none"/>
          <w:lang w:val="en-US" w:eastAsia="zh-CN"/>
          <w14:textFill>
            <w14:solidFill>
              <w14:schemeClr w14:val="tx1"/>
            </w14:solidFill>
          </w14:textFill>
        </w:rPr>
        <w:t>主次干道的</w:t>
      </w:r>
      <w:r>
        <w:rPr>
          <w:rFonts w:hint="eastAsia" w:ascii="仿宋" w:hAnsi="仿宋" w:eastAsia="仿宋" w:cs="仿宋"/>
          <w:color w:val="000000" w:themeColor="text1"/>
          <w:highlight w:val="none"/>
          <w14:textFill>
            <w14:solidFill>
              <w14:schemeClr w14:val="tx1"/>
            </w14:solidFill>
          </w14:textFill>
        </w:rPr>
        <w:t>升级改造工程，持续推进“四好农村路”建设，提升农村公路网络覆盖深度和技术等级，实现城乡交通一体化发展。</w:t>
      </w:r>
    </w:p>
    <w:p w14:paraId="6ED26632">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14:textFill>
            <w14:solidFill>
              <w14:schemeClr w14:val="tx1"/>
            </w14:solidFill>
          </w14:textFill>
        </w:rPr>
        <w:t>推动交通枢纽一体化</w:t>
      </w:r>
      <w:r>
        <w:rPr>
          <w:rFonts w:hint="eastAsia" w:ascii="仿宋" w:hAnsi="仿宋" w:eastAsia="仿宋" w:cs="仿宋"/>
          <w:color w:val="000000" w:themeColor="text1"/>
          <w:highlight w:val="none"/>
          <w14:textFill>
            <w14:solidFill>
              <w14:schemeClr w14:val="tx1"/>
            </w14:solidFill>
          </w14:textFill>
        </w:rPr>
        <w:t>。强化各种运输方式的协同高效，围绕公铁物流园、机场等关键节点，打造集长途客运、城市公交、出租车、社会车辆于一体的综合客运枢纽，以及集运输、仓储、配送、信息于一体的综合货运枢纽。通过优化换乘换装流程，发展智慧停车、共享出行等新服务，全面提升旅客出行和货物运输的体验与效率，真正实现“人便其行、货畅其流”。</w:t>
      </w:r>
    </w:p>
    <w:p w14:paraId="2310EDD7">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48" w:name="_Toc18358"/>
      <w:r>
        <w:rPr>
          <w:rFonts w:hint="eastAsia" w:ascii="楷体" w:hAnsi="楷体" w:eastAsia="楷体" w:cs="楷体"/>
          <w:color w:val="000000" w:themeColor="text1"/>
          <w:highlight w:val="none"/>
          <w:lang w:val="en-US" w:eastAsia="zh-CN"/>
          <w14:textFill>
            <w14:solidFill>
              <w14:schemeClr w14:val="tx1"/>
            </w14:solidFill>
          </w14:textFill>
        </w:rPr>
        <w:t>第三十三章 加强水利基础设施建设</w:t>
      </w:r>
      <w:bookmarkEnd w:id="48"/>
    </w:p>
    <w:p w14:paraId="2A2015D6">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坚持“节水优先、空间均衡、系统治理、两手发力”的治水思路，以提升水旱灾害防御能力、优化水资源配置格局、维护水生态系统健康为核心，谋划推进一批打基础、利长远、惠民生、促发展的重大水利项目，为经济社会高质量发展提供坚实水安全保障。</w:t>
      </w:r>
    </w:p>
    <w:p w14:paraId="70B348CB">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第一节 加快建设现代水网</w:t>
      </w:r>
      <w:r>
        <w:rPr>
          <w:rFonts w:hint="eastAsia" w:ascii="仿宋" w:hAnsi="仿宋" w:eastAsia="仿宋" w:cs="仿宋"/>
          <w:color w:val="000000" w:themeColor="text1"/>
          <w:highlight w:val="none"/>
          <w14:textFill>
            <w14:solidFill>
              <w14:schemeClr w14:val="tx1"/>
            </w14:solidFill>
          </w14:textFill>
        </w:rPr>
        <w:t>。重点实施中小河流系统治理工程，推进黑蟒围堤、铃铛麦河、音达木河等重点水利项目建设，系统提升流域防洪标准至国家规定的设防水平。构建跨区域、跨流域水资源优化配置体系，实施骨干水源工程联通与调度能力提升工程，统筹生活、生产、生态用水需求，显著增强水资源时空调配能力和应对极端干旱事件的保障能力。</w:t>
      </w:r>
    </w:p>
    <w:p w14:paraId="7A3E6D4A">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14:textFill>
            <w14:solidFill>
              <w14:schemeClr w14:val="tx1"/>
            </w14:solidFill>
          </w14:textFill>
        </w:rPr>
        <w:t>完善</w:t>
      </w:r>
      <w:r>
        <w:rPr>
          <w:rFonts w:hint="eastAsia" w:ascii="仿宋" w:hAnsi="仿宋" w:eastAsia="仿宋" w:cs="仿宋"/>
          <w:b/>
          <w:bCs/>
          <w:color w:val="000000" w:themeColor="text1"/>
          <w:highlight w:val="none"/>
          <w:lang w:val="en-US" w:eastAsia="zh-CN"/>
          <w14:textFill>
            <w14:solidFill>
              <w14:schemeClr w14:val="tx1"/>
            </w14:solidFill>
          </w14:textFill>
        </w:rPr>
        <w:t>水利网络</w:t>
      </w:r>
      <w:r>
        <w:rPr>
          <w:rFonts w:hint="eastAsia" w:ascii="仿宋" w:hAnsi="仿宋" w:eastAsia="仿宋" w:cs="仿宋"/>
          <w:color w:val="000000" w:themeColor="text1"/>
          <w:highlight w:val="none"/>
          <w14:textFill>
            <w14:solidFill>
              <w14:schemeClr w14:val="tx1"/>
            </w14:solidFill>
          </w14:textFill>
        </w:rPr>
        <w:t>。融入海绵城市建设理念，在城市更新中系统推进雨水蓄滞空间建设、排水泵站智能化改造和易涝积水点动态治理。构建“源头绿色基础设施、管网高效输送、调蓄设施协同、应急能力保障”四位一体的现代化城市排水防涝体系。持续推进城乡供水一体化建设，实施农村规模化供水工程和老旧管网改造工程，加强饮用水水源地保护与水质监测能力建设，建立健全从“源头”到“龙头”的全流程饮水安全保障体系，确保城乡居民饮水安全。大力推广工业循环用水、农业节水灌溉技术和民用节水器具，建设节水型社会。</w:t>
      </w:r>
    </w:p>
    <w:p w14:paraId="5CC7ED6F">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49" w:name="_Toc19382"/>
      <w:r>
        <w:rPr>
          <w:rFonts w:hint="eastAsia" w:ascii="楷体" w:hAnsi="楷体" w:eastAsia="楷体" w:cs="楷体"/>
          <w:color w:val="000000" w:themeColor="text1"/>
          <w:highlight w:val="none"/>
          <w:lang w:val="en-US" w:eastAsia="zh-CN"/>
          <w14:textFill>
            <w14:solidFill>
              <w14:schemeClr w14:val="tx1"/>
            </w14:solidFill>
          </w14:textFill>
        </w:rPr>
        <w:t>第三十四章 推进能源基础设施建设</w:t>
      </w:r>
      <w:bookmarkEnd w:id="49"/>
    </w:p>
    <w:p w14:paraId="335DA851">
      <w:pPr>
        <w:pageBreakBefore w:val="0"/>
        <w:widowControl w:val="0"/>
        <w:kinsoku/>
        <w:wordWrap/>
        <w:topLinePunct w:val="0"/>
        <w:autoSpaceDN/>
        <w:bidi w:val="0"/>
        <w:snapToGrid w:val="0"/>
        <w:spacing w:beforeAutospacing="0" w:afterAutospacing="0" w:line="600" w:lineRule="exact"/>
        <w:ind w:left="0" w:leftChars="0" w:firstLine="640" w:firstLineChars="200"/>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以保障能源安全供应为基础，以推动能源绿色低碳转型为核心，统筹布局、适度超前推进能源基础设施建设，为经济社会高质量发展提供坚实可靠的能源保障。</w:t>
      </w:r>
    </w:p>
    <w:p w14:paraId="67B95636">
      <w:pPr>
        <w:pStyle w:val="8"/>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第一节 大力发展清洁能源</w:t>
      </w:r>
      <w:r>
        <w:rPr>
          <w:rFonts w:hint="eastAsia" w:ascii="仿宋" w:hAnsi="仿宋" w:eastAsia="仿宋" w:cs="仿宋"/>
          <w:b/>
          <w:bCs/>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实施</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屋顶光伏开发行动</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在党政机关、学校医院、工商业厂房等具备条件的建筑屋顶，规模化、规范化推进光伏发电系统建设。在资源适宜的农村地区，积极探索“光伏+生物质能”等多能互补的分布式能源系统建设模式，提升农村地区能源自给率和清洁化水平。</w:t>
      </w:r>
      <w:r>
        <w:rPr>
          <w:rFonts w:hint="eastAsia" w:ascii="仿宋" w:hAnsi="仿宋" w:eastAsia="仿宋" w:cs="仿宋"/>
          <w:color w:val="000000" w:themeColor="text1"/>
          <w:highlight w:val="none"/>
          <w:lang w:val="en-US" w:eastAsia="zh-CN"/>
          <w14:textFill>
            <w14:solidFill>
              <w14:schemeClr w14:val="tx1"/>
            </w14:solidFill>
          </w14:textFill>
        </w:rPr>
        <w:t>把发展电网侧储能作为构建新型电力系统、保障能源安全的关键环节，主动谋划、积极招引、加快推进，充分发挥储能在调峰、调频、备用等方面的多重价值。</w:t>
      </w:r>
      <w:r>
        <w:rPr>
          <w:rFonts w:hint="eastAsia" w:ascii="仿宋" w:hAnsi="仿宋" w:eastAsia="仿宋" w:cs="仿宋"/>
          <w:color w:val="000000" w:themeColor="text1"/>
          <w:highlight w:val="none"/>
          <w14:textFill>
            <w14:solidFill>
              <w14:schemeClr w14:val="tx1"/>
            </w14:solidFill>
          </w14:textFill>
        </w:rPr>
        <w:t>加快推进城区燃气管网向近郊重点乡镇延伸覆盖工程，稳步推进“煤改电”、“煤改气”工程，持续扩大天然气等清洁能源在居民生活和工商业领域的应用覆盖面，优化城乡能源消费结构。</w:t>
      </w:r>
    </w:p>
    <w:p w14:paraId="5090C327">
      <w:pPr>
        <w:pStyle w:val="8"/>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14:textFill>
            <w14:solidFill>
              <w14:schemeClr w14:val="tx1"/>
            </w14:solidFill>
          </w14:textFill>
        </w:rPr>
        <w:t>推进能源基础设施</w:t>
      </w:r>
      <w:r>
        <w:rPr>
          <w:rFonts w:hint="eastAsia" w:ascii="仿宋" w:hAnsi="仿宋" w:eastAsia="仿宋" w:cs="仿宋"/>
          <w:b/>
          <w:bCs/>
          <w:color w:val="000000" w:themeColor="text1"/>
          <w:highlight w:val="none"/>
          <w:lang w:val="en-US" w:eastAsia="zh-CN"/>
          <w14:textFill>
            <w14:solidFill>
              <w14:schemeClr w14:val="tx1"/>
            </w14:solidFill>
          </w14:textFill>
        </w:rPr>
        <w:t>升级改造</w:t>
      </w:r>
      <w:r>
        <w:rPr>
          <w:rFonts w:hint="eastAsia" w:ascii="仿宋" w:hAnsi="仿宋" w:eastAsia="仿宋" w:cs="仿宋"/>
          <w:b/>
          <w:bCs/>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围绕构建新型电力系统，推进配电网智能化改造和柔性升级，增强对分布式能源接入的消纳能力。规划建设新能源配套储能设施，提升电力系统调节能力与安全稳定运行水平。推动能源基础设施数字化管理平台建设，实现对能源生产、输送、消费各环节的智能感知与优化调度。积极探索能源与信息通信、交通等领域基础设施的协同规划与融合建设，为区域能源绿色低碳转型和高质量发展提供坚实支撑。科学布局新能源汽车充电桩网络，与交通枢纽、商业中心等场景结合，满足未来电动化出行需求。</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14:paraId="2700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06" w:type="dxa"/>
            <w:vAlign w:val="center"/>
          </w:tcPr>
          <w:p w14:paraId="6AB227BF">
            <w:pPr>
              <w:pStyle w:val="8"/>
              <w:keepNext w:val="0"/>
              <w:keepLines w:val="0"/>
              <w:pageBreakBefore w:val="0"/>
              <w:widowControl w:val="0"/>
              <w:suppressLineNumbers w:val="0"/>
              <w:kinsoku/>
              <w:wordWrap/>
              <w:topLinePunct w:val="0"/>
              <w:autoSpaceDN/>
              <w:bidi w:val="0"/>
              <w:snapToGrid w:val="0"/>
              <w:spacing w:before="0" w:beforeAutospacing="0" w:after="0" w:afterAutospacing="0" w:line="600" w:lineRule="exact"/>
              <w:ind w:left="0" w:right="0" w:firstLine="0" w:firstLineChars="0"/>
              <w:jc w:val="center"/>
              <w:rPr>
                <w:rFonts w:hint="eastAsia" w:ascii="Times New Roman" w:hAnsi="Times New Roman" w:eastAsia="微软雅黑" w:cs="Times New Roman"/>
                <w:color w:val="000000" w:themeColor="text1"/>
                <w:highlight w:val="none"/>
                <w:lang w:val="en-US" w:eastAsia="zh-CN"/>
                <w14:textFill>
                  <w14:solidFill>
                    <w14:schemeClr w14:val="tx1"/>
                  </w14:solidFill>
                </w14:textFill>
              </w:rPr>
            </w:pP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专栏</w:t>
            </w:r>
            <w:r>
              <w:rPr>
                <w:rFonts w:hint="default" w:ascii="Times New Roman" w:hAnsi="Times New Roman" w:eastAsia="微软雅黑" w:cs="Times New Roman"/>
                <w:color w:val="000000" w:themeColor="text1"/>
                <w:sz w:val="24"/>
                <w:szCs w:val="24"/>
                <w:highlight w:val="none"/>
                <w:lang w:val="en-US" w:eastAsia="zh-CN" w:bidi="ar"/>
                <w14:textFill>
                  <w14:solidFill>
                    <w14:schemeClr w14:val="tx1"/>
                  </w14:solidFill>
                </w14:textFill>
              </w:rPr>
              <w:t>9-1</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 xml:space="preserve">  东风区</w:t>
            </w:r>
            <w:r>
              <w:rPr>
                <w:rFonts w:hint="default" w:ascii="Times New Roman" w:hAnsi="Times New Roman" w:eastAsia="微软雅黑" w:cs="Times New Roman"/>
                <w:color w:val="000000" w:themeColor="text1"/>
                <w:sz w:val="24"/>
                <w:szCs w:val="24"/>
                <w:highlight w:val="none"/>
                <w:lang w:eastAsia="zh" w:bidi="ar"/>
                <w14:textFill>
                  <w14:solidFill>
                    <w14:schemeClr w14:val="tx1"/>
                  </w14:solidFill>
                </w14:textFill>
              </w:rPr>
              <w:t>现代化基础设施建设</w:t>
            </w:r>
            <w:r>
              <w:rPr>
                <w:rFonts w:hint="default" w:ascii="Times New Roman" w:hAnsi="Times New Roman" w:eastAsia="微软雅黑" w:cs="Times New Roman"/>
                <w:color w:val="000000" w:themeColor="text1"/>
                <w:sz w:val="24"/>
                <w:szCs w:val="24"/>
                <w:highlight w:val="none"/>
                <w:lang w:bidi="ar"/>
                <w14:textFill>
                  <w14:solidFill>
                    <w14:schemeClr w14:val="tx1"/>
                  </w14:solidFill>
                </w14:textFill>
              </w:rPr>
              <w:t>重点</w:t>
            </w:r>
            <w:r>
              <w:rPr>
                <w:rFonts w:hint="eastAsia" w:ascii="Times New Roman" w:hAnsi="Times New Roman" w:eastAsia="微软雅黑" w:cs="Times New Roman"/>
                <w:color w:val="000000" w:themeColor="text1"/>
                <w:sz w:val="24"/>
                <w:szCs w:val="24"/>
                <w:highlight w:val="none"/>
                <w:lang w:val="en-US" w:eastAsia="zh-CN" w:bidi="ar"/>
                <w14:textFill>
                  <w14:solidFill>
                    <w14:schemeClr w14:val="tx1"/>
                  </w14:solidFill>
                </w14:textFill>
              </w:rPr>
              <w:t>工程</w:t>
            </w:r>
          </w:p>
        </w:tc>
      </w:tr>
      <w:tr w14:paraId="6BF5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vAlign w:val="center"/>
          </w:tcPr>
          <w:p w14:paraId="37D6AEC9">
            <w:pPr>
              <w:keepNext w:val="0"/>
              <w:keepLines w:val="0"/>
              <w:pageBreakBefore w:val="0"/>
              <w:widowControl w:val="0"/>
              <w:suppressLineNumbers w:val="0"/>
              <w:kinsoku/>
              <w:wordWrap/>
              <w:overflowPunct/>
              <w:topLinePunct w:val="0"/>
              <w:autoSpaceDN/>
              <w:bidi w:val="0"/>
              <w:snapToGrid w:val="0"/>
              <w:spacing w:before="0" w:beforeAutospacing="0" w:after="0" w:afterAutospacing="0" w:line="600" w:lineRule="exact"/>
              <w:ind w:left="0" w:leftChars="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cs="Times New Roman"/>
                <w:b/>
                <w:bCs/>
                <w:color w:val="000000" w:themeColor="text1"/>
                <w:kern w:val="2"/>
                <w:sz w:val="24"/>
                <w:szCs w:val="24"/>
                <w:highlight w:val="none"/>
                <w:lang w:val="en-US" w:eastAsia="zh" w:bidi="ar"/>
                <w14:textFill>
                  <w14:solidFill>
                    <w14:schemeClr w14:val="tx1"/>
                  </w14:solidFill>
                </w14:textFill>
                <w:woUserID w:val="1"/>
              </w:rPr>
              <w:t>1.</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交通重大工程</w:t>
            </w:r>
            <w:r>
              <w:rPr>
                <w:rFonts w:hint="default" w:ascii="Times New Roman" w:hAnsi="Times New Roman" w:cs="Times New Roman"/>
                <w:b/>
                <w:bCs/>
                <w:color w:val="000000" w:themeColor="text1"/>
                <w:kern w:val="2"/>
                <w:sz w:val="24"/>
                <w:szCs w:val="24"/>
                <w:highlight w:val="none"/>
                <w:lang w:val="en-US" w:eastAsia="zh" w:bidi="ar"/>
                <w14:textFill>
                  <w14:solidFill>
                    <w14:schemeClr w14:val="tx1"/>
                  </w14:solidFill>
                </w14:textFill>
                <w:woUserID w:val="1"/>
              </w:rPr>
              <w:t>。</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重点实施</w:t>
            </w:r>
            <w:r>
              <w:rPr>
                <w:rFonts w:hint="eastAsia" w:cs="Times New Roman"/>
                <w:color w:val="000000" w:themeColor="text1"/>
                <w:kern w:val="2"/>
                <w:sz w:val="24"/>
                <w:szCs w:val="24"/>
                <w:highlight w:val="none"/>
                <w:lang w:val="en-US" w:eastAsia="zh-CN" w:bidi="ar"/>
                <w14:textFill>
                  <w14:solidFill>
                    <w14:schemeClr w14:val="tx1"/>
                  </w14:solidFill>
                </w14:textFill>
                <w:woUserID w:val="1"/>
              </w:rPr>
              <w:t>佳木斯</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机场改扩建工程建设项目，推动联合村至模范村、同哈公路至松江乡、西太平村至新民村、</w:t>
            </w:r>
            <w:r>
              <w:rPr>
                <w:rFonts w:hint="eastAsia" w:cs="Times New Roman"/>
                <w:color w:val="000000" w:themeColor="text1"/>
                <w:kern w:val="2"/>
                <w:sz w:val="24"/>
                <w:szCs w:val="24"/>
                <w:highlight w:val="none"/>
                <w:lang w:val="en-US" w:eastAsia="zh-CN" w:bidi="ar"/>
                <w14:textFill>
                  <w14:solidFill>
                    <w14:schemeClr w14:val="tx1"/>
                  </w14:solidFill>
                </w14:textFill>
                <w:woUserID w:val="1"/>
              </w:rPr>
              <w:t>红</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力村至恒心村等农村公路提质改造。</w:t>
            </w:r>
          </w:p>
          <w:p w14:paraId="39891C98">
            <w:pPr>
              <w:keepNext w:val="0"/>
              <w:keepLines w:val="0"/>
              <w:pageBreakBefore w:val="0"/>
              <w:widowControl w:val="0"/>
              <w:suppressLineNumbers w:val="0"/>
              <w:kinsoku/>
              <w:wordWrap/>
              <w:overflowPunct/>
              <w:topLinePunct w:val="0"/>
              <w:autoSpaceDN/>
              <w:bidi w:val="0"/>
              <w:snapToGrid w:val="0"/>
              <w:spacing w:before="0" w:beforeAutospacing="0" w:after="0" w:afterAutospacing="0" w:line="600" w:lineRule="exact"/>
              <w:ind w:left="0" w:leftChars="0" w:right="0" w:firstLine="482" w:firstLineChars="200"/>
              <w:jc w:val="both"/>
              <w:rPr>
                <w:rFonts w:hint="default" w:ascii="Times New Roman" w:hAnsi="Times New Roman" w:eastAsia="仿宋_GB2312" w:cs="Times New Roman"/>
                <w:b/>
                <w:bCs/>
                <w:color w:val="000000" w:themeColor="text1"/>
                <w:kern w:val="2"/>
                <w:sz w:val="24"/>
                <w:szCs w:val="24"/>
                <w:highlight w:val="none"/>
                <w:lang w:bidi="ar"/>
                <w14:textFill>
                  <w14:solidFill>
                    <w14:schemeClr w14:val="tx1"/>
                  </w14:solidFill>
                </w14:textFill>
                <w:woUserID w:val="1"/>
              </w:rPr>
            </w:pPr>
            <w:r>
              <w:rPr>
                <w:rFonts w:hint="default" w:ascii="Times New Roman" w:hAnsi="Times New Roman" w:cs="Times New Roman"/>
                <w:b/>
                <w:bCs/>
                <w:color w:val="000000" w:themeColor="text1"/>
                <w:kern w:val="2"/>
                <w:sz w:val="24"/>
                <w:szCs w:val="24"/>
                <w:highlight w:val="none"/>
                <w:lang w:val="en-US" w:eastAsia="zh" w:bidi="ar"/>
                <w14:textFill>
                  <w14:solidFill>
                    <w14:schemeClr w14:val="tx1"/>
                  </w14:solidFill>
                </w14:textFill>
                <w:woUserID w:val="1"/>
              </w:rPr>
              <w:t>2.</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水利重大工程</w:t>
            </w:r>
            <w:r>
              <w:rPr>
                <w:rFonts w:hint="default" w:ascii="Times New Roman" w:hAnsi="Times New Roman" w:cs="Times New Roman"/>
                <w:b/>
                <w:bCs/>
                <w:color w:val="000000" w:themeColor="text1"/>
                <w:kern w:val="2"/>
                <w:sz w:val="24"/>
                <w:szCs w:val="24"/>
                <w:highlight w:val="none"/>
                <w:lang w:val="en-US" w:eastAsia="zh" w:bidi="ar"/>
                <w14:textFill>
                  <w14:solidFill>
                    <w14:schemeClr w14:val="tx1"/>
                  </w14:solidFill>
                </w14:textFill>
                <w:woUserID w:val="1"/>
              </w:rPr>
              <w:t>。</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1"/>
              </w:rPr>
              <w:t>重点实施佳木斯市东风区东音达木河左岸治理工程、佳木斯市东风区智能强排站工程、佳木斯市东风区黑蟒围堤抢险加固项目等。</w:t>
            </w:r>
          </w:p>
          <w:p w14:paraId="2563FED6">
            <w:pPr>
              <w:keepNext w:val="0"/>
              <w:keepLines w:val="0"/>
              <w:pageBreakBefore w:val="0"/>
              <w:widowControl w:val="0"/>
              <w:suppressLineNumbers w:val="0"/>
              <w:kinsoku/>
              <w:wordWrap/>
              <w:topLinePunct w:val="0"/>
              <w:autoSpaceDE/>
              <w:autoSpaceDN/>
              <w:bidi w:val="0"/>
              <w:snapToGrid w:val="0"/>
              <w:spacing w:before="0" w:beforeAutospacing="0" w:after="0" w:afterAutospacing="0" w:line="600" w:lineRule="exact"/>
              <w:ind w:left="0" w:leftChars="0" w:right="0" w:firstLine="482" w:firstLineChars="200"/>
              <w:jc w:val="both"/>
              <w:rPr>
                <w:rFonts w:hint="default" w:ascii="Times New Roman" w:hAnsi="Times New Roman" w:cs="Times New Roman"/>
                <w:color w:val="000000" w:themeColor="text1"/>
                <w:sz w:val="21"/>
                <w:szCs w:val="21"/>
                <w:highlight w:val="none"/>
                <w:lang w:eastAsia="zh" w:bidi="ar"/>
                <w14:textFill>
                  <w14:solidFill>
                    <w14:schemeClr w14:val="tx1"/>
                  </w14:solidFill>
                </w14:textFill>
              </w:rPr>
            </w:pPr>
            <w:r>
              <w:rPr>
                <w:rFonts w:hint="default" w:ascii="Times New Roman" w:hAnsi="Times New Roman" w:cs="Times New Roman"/>
                <w:b/>
                <w:bCs/>
                <w:color w:val="000000" w:themeColor="text1"/>
                <w:kern w:val="2"/>
                <w:sz w:val="24"/>
                <w:szCs w:val="24"/>
                <w:highlight w:val="none"/>
                <w:lang w:val="en-US" w:eastAsia="zh-CN" w:bidi="ar"/>
                <w14:textFill>
                  <w14:solidFill>
                    <w14:schemeClr w14:val="tx1"/>
                  </w14:solidFill>
                </w14:textFill>
                <w:woUserID w:val="1"/>
              </w:rPr>
              <w:t>3.</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保障性安居工程</w:t>
            </w:r>
            <w:r>
              <w:rPr>
                <w:rFonts w:hint="default" w:ascii="Times New Roman" w:hAnsi="Times New Roman" w:cs="Times New Roman"/>
                <w:b/>
                <w:bCs/>
                <w:color w:val="000000" w:themeColor="text1"/>
                <w:kern w:val="2"/>
                <w:sz w:val="24"/>
                <w:szCs w:val="24"/>
                <w:highlight w:val="none"/>
                <w:lang w:val="en-US" w:eastAsia="zh" w:bidi="ar"/>
                <w14:textFill>
                  <w14:solidFill>
                    <w14:schemeClr w14:val="tx1"/>
                  </w14:solidFill>
                </w14:textFill>
                <w:woUserID w:val="1"/>
              </w:rPr>
              <w:t>。</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1"/>
              </w:rPr>
              <w:t>重点实施东风区供水管网连通及延伸项目，东风区建国街以西老旧社区及巷道雨污分流及管网提标改造工程，老旧小区改造楼房本体及配套基础设施项目，小区内电动摩托车充电桩及车棚项目等。</w:t>
            </w:r>
          </w:p>
        </w:tc>
      </w:tr>
    </w:tbl>
    <w:p w14:paraId="580ECD75">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50" w:name="_Toc10367"/>
      <w:r>
        <w:rPr>
          <w:rFonts w:hint="eastAsia" w:ascii="楷体" w:hAnsi="楷体" w:eastAsia="楷体" w:cs="楷体"/>
          <w:color w:val="000000" w:themeColor="text1"/>
          <w:highlight w:val="none"/>
          <w:lang w:val="en-US" w:eastAsia="zh-CN"/>
          <w14:textFill>
            <w14:solidFill>
              <w14:schemeClr w14:val="tx1"/>
            </w14:solidFill>
          </w14:textFill>
        </w:rPr>
        <w:t>第三十五章 加快数据基础设施建设</w:t>
      </w:r>
      <w:bookmarkEnd w:id="50"/>
    </w:p>
    <w:p w14:paraId="040E20B4">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把数据作为关键生产要素，统筹布局、适度超前推进数据基础设施体系建设，打通数据汇聚、流通、应用的技术与管理堵点，为城市智能化治理、产业数字化转型和数字经济发展提供强大支撑。</w:t>
      </w:r>
    </w:p>
    <w:p w14:paraId="2A60EC1E">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完善新型通信基础设施</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持续推进以5G和千兆光网为代表的新型信息通信设施建设，加大5G基站建设与优化力度，优先实现高新区、现代物流园区、大型商贸中心、东风区主要交通干线及建国镇、松江乡等重点乡镇的连续覆盖与深度覆盖，并向农村地区延伸，为各类数字应用提供稳定高效的网络支撑。积极推进“千兆城区、百兆乡村”工程，提升城乡光纤网络覆盖质量与接入能力。统筹布局物联网、工业互联网等感知设施，鼓励企业建设低功耗、广覆盖的物联网网络。适度超前建设智算节点、信息通信网络等新型基础设施，夯实数据开发利用的基础承载。探索构建区域数据一体化平台，推动政务数据、行业数据、社会数据的汇聚融合与有序共享，为“数字东风”建设提供坚实的数据基础。</w:t>
      </w:r>
    </w:p>
    <w:p w14:paraId="4A6E8025">
      <w:pPr>
        <w:keepNext w:val="0"/>
        <w:keepLines w:val="0"/>
        <w:pageBreakBefore w:val="0"/>
        <w:widowControl w:val="0"/>
        <w:kinsoku/>
        <w:wordWrap/>
        <w:topLinePunct w:val="0"/>
        <w:autoSpaceDE w:val="0"/>
        <w:autoSpaceDN/>
        <w:bidi w:val="0"/>
        <w:snapToGrid w:val="0"/>
        <w:spacing w:beforeAutospacing="0" w:afterAutospacing="0" w:line="600" w:lineRule="exact"/>
        <w:jc w:val="both"/>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拓展数字化应用场景。</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实施“人工智能+”行动，开展人工智能全社会通识教育，促进人工智能同科技创新、产业发展、文化建设、民生保障、社会治理等领域相结合，着力打造智慧社区、智慧医疗、智能配送、智慧旅游等城市治理和民生领域的新技术应用场景项目。积极探索教育、医疗、养老、社区服务等民生领域的大数据创新应用，通过数据分析精准洞察民生需求，有效降低公共服务运营成本，不断提升民生服务的数字化、均等化、便捷化与个性化水平，让数字技术发展成果更好地惠及全区人民。紧抓低空经济战略机遇，锚定“制造+服务+保障”融合发展路径，打造区域低空经济特色增长极，</w:t>
      </w:r>
      <w:r>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woUserID w:val="1"/>
        </w:rPr>
        <w:t>推动低空经济与农业、物流等业态融合，助力培育新质生产力，为现代化东风区建设注入新动能。</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37AE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19891E8F">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leftChars="0" w:right="0" w:firstLine="0" w:firstLineChars="0"/>
              <w:jc w:val="center"/>
              <w:rPr>
                <w:rFonts w:hint="default" w:ascii="Times New Roman" w:hAnsi="Times New Roman" w:eastAsia="微软雅黑" w:cs="Times New Roman"/>
                <w:color w:val="000000" w:themeColor="text1"/>
                <w:kern w:val="2"/>
                <w:sz w:val="32"/>
                <w:szCs w:val="32"/>
                <w:highlight w:val="none"/>
                <w:lang w:eastAsia="zh"/>
                <w14:textFill>
                  <w14:solidFill>
                    <w14:schemeClr w14:val="tx1"/>
                  </w14:solidFill>
                </w14:textFill>
                <w:woUserID w:val="1"/>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1"/>
              </w:rPr>
              <w:t>专栏9-2   “数字东风”建设</w:t>
            </w:r>
            <w:r>
              <w:rPr>
                <w:rFonts w:hint="default" w:ascii="Times New Roman" w:hAnsi="Times New Roman" w:eastAsia="微软雅黑" w:cs="Times New Roman"/>
                <w:color w:val="000000" w:themeColor="text1"/>
                <w:kern w:val="2"/>
                <w:sz w:val="24"/>
                <w:szCs w:val="24"/>
                <w:highlight w:val="none"/>
                <w:lang w:val="en-US" w:eastAsia="zh" w:bidi="ar"/>
                <w14:textFill>
                  <w14:solidFill>
                    <w14:schemeClr w14:val="tx1"/>
                  </w14:solidFill>
                </w14:textFill>
                <w:woUserID w:val="1"/>
              </w:rPr>
              <w:t>重大项目</w:t>
            </w:r>
          </w:p>
        </w:tc>
      </w:tr>
      <w:tr w14:paraId="0A48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3A1BE677">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1.数据汇聚和应用。</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对接国内领先的数据服务企业与技术平台，强化数据存储、计算分析与智能处理能力，拓展政务管理、智慧城市、农业监测、金融服务等垂直场景应用，推进数据要素价值转化。重点实施东风区卫星应用大数据中心项目、东风区大禹智能云项目、佳木斯东风区大数据应用服务平台项目。</w:t>
            </w:r>
          </w:p>
          <w:p w14:paraId="66EA6B0A">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cs="Times New Roman"/>
                <w:b/>
                <w:bCs/>
                <w:color w:val="000000" w:themeColor="text1"/>
                <w:kern w:val="2"/>
                <w:sz w:val="24"/>
                <w:szCs w:val="24"/>
                <w:highlight w:val="none"/>
                <w:lang w:val="en-US" w:eastAsia="zh" w:bidi="ar"/>
                <w14:textFill>
                  <w14:solidFill>
                    <w14:schemeClr w14:val="tx1"/>
                  </w14:solidFill>
                </w14:textFill>
                <w:woUserID w:val="1"/>
              </w:rPr>
              <w:t>2</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.低空产业发展平台。</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完善无人机起降、导航通信、身份识别及实时监控等基础设施体系，建立全过程、全覆盖的低空安全管控网络。联合行业领军企业开展战略合作，共同培育涵盖技术研发、装备制造与运营服务的低空经济全产业链。重点谋划实施东风区低空安全管控平台、航空无人机生产测试项目、飞服中心建设无人机实践基地项目等。</w:t>
            </w:r>
          </w:p>
          <w:p w14:paraId="171F89B7">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1"/>
                <w:szCs w:val="21"/>
                <w:highlight w:val="none"/>
                <w14:textFill>
                  <w14:solidFill>
                    <w14:schemeClr w14:val="tx1"/>
                  </w14:solidFill>
                </w14:textFill>
                <w:woUserID w:val="1"/>
              </w:rPr>
            </w:pPr>
            <w:r>
              <w:rPr>
                <w:rFonts w:hint="default" w:ascii="Times New Roman" w:hAnsi="Times New Roman" w:cs="Times New Roman"/>
                <w:b/>
                <w:bCs/>
                <w:color w:val="000000" w:themeColor="text1"/>
                <w:kern w:val="2"/>
                <w:sz w:val="24"/>
                <w:szCs w:val="24"/>
                <w:highlight w:val="none"/>
                <w:lang w:val="en-US" w:eastAsia="zh" w:bidi="ar"/>
                <w14:textFill>
                  <w14:solidFill>
                    <w14:schemeClr w14:val="tx1"/>
                  </w14:solidFill>
                </w14:textFill>
                <w:woUserID w:val="1"/>
              </w:rPr>
              <w:t>3</w:t>
            </w: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.智慧城市。</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重点推进城市治理与民生服务的数字化转型升级，提升城市运行效率。重点实施佳木斯东风区安全食品智慧城市项目、智慧停车项目、佳木斯市东风区智慧百货仓储超市项目。</w:t>
            </w:r>
          </w:p>
        </w:tc>
      </w:tr>
    </w:tbl>
    <w:p w14:paraId="6C3A6C88">
      <w:pPr>
        <w:pStyle w:val="2"/>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bookmarkStart w:id="51" w:name="_Toc28024"/>
      <w:r>
        <w:rPr>
          <w:rFonts w:hint="default" w:ascii="Times New Roman" w:hAnsi="Times New Roman" w:cs="Times New Roman"/>
          <w:color w:val="000000" w:themeColor="text1"/>
          <w:highlight w:val="none"/>
          <w:lang w:val="en-US" w:eastAsia="zh-CN"/>
          <w14:textFill>
            <w14:solidFill>
              <w14:schemeClr w14:val="tx1"/>
            </w14:solidFill>
          </w14:textFill>
        </w:rPr>
        <w:t xml:space="preserve">第十篇 </w:t>
      </w:r>
      <w:r>
        <w:rPr>
          <w:rFonts w:hint="default" w:ascii="Times New Roman" w:hAnsi="Times New Roman" w:cs="Times New Roman"/>
          <w:color w:val="000000" w:themeColor="text1"/>
          <w:highlight w:val="none"/>
          <w14:textFill>
            <w14:solidFill>
              <w14:schemeClr w14:val="tx1"/>
            </w14:solidFill>
          </w14:textFill>
        </w:rPr>
        <w:t>优化经济布局和资源配置，促进区域协调发展</w:t>
      </w:r>
      <w:bookmarkEnd w:id="51"/>
    </w:p>
    <w:p w14:paraId="1711A21D">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落实区域协调发展战略、区域重大战略、主体功能区战略、新型城镇化战略，构建优势互补、高质量发展的区域经济新格局和国土空间体系，增强城市辐射带动能力和服务承载能力。</w:t>
      </w:r>
    </w:p>
    <w:p w14:paraId="0945792C">
      <w:pPr>
        <w:pStyle w:val="3"/>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14:textFill>
            <w14:solidFill>
              <w14:schemeClr w14:val="tx1"/>
            </w14:solidFill>
          </w14:textFill>
        </w:rPr>
      </w:pPr>
      <w:bookmarkStart w:id="52" w:name="_Toc2946"/>
      <w:r>
        <w:rPr>
          <w:rFonts w:hint="eastAsia" w:ascii="楷体" w:hAnsi="楷体" w:eastAsia="楷体" w:cs="楷体"/>
          <w:color w:val="000000" w:themeColor="text1"/>
          <w:highlight w:val="none"/>
          <w:lang w:val="en-US" w:eastAsia="zh-CN"/>
          <w14:textFill>
            <w14:solidFill>
              <w14:schemeClr w14:val="tx1"/>
            </w14:solidFill>
          </w14:textFill>
        </w:rPr>
        <w:t xml:space="preserve">第三十六章 </w:t>
      </w:r>
      <w:r>
        <w:rPr>
          <w:rFonts w:hint="eastAsia" w:ascii="楷体" w:hAnsi="楷体" w:eastAsia="楷体" w:cs="楷体"/>
          <w:color w:val="000000" w:themeColor="text1"/>
          <w:highlight w:val="none"/>
          <w14:textFill>
            <w14:solidFill>
              <w14:schemeClr w14:val="tx1"/>
            </w14:solidFill>
          </w14:textFill>
        </w:rPr>
        <w:t>深入落实国省区域发展战略</w:t>
      </w:r>
      <w:bookmarkEnd w:id="52"/>
    </w:p>
    <w:p w14:paraId="7DF3F94E">
      <w:pPr>
        <w:pageBreakBefore w:val="0"/>
        <w:widowControl w:val="0"/>
        <w:kinsoku/>
        <w:wordWrap/>
        <w:topLinePunct w:val="0"/>
        <w:autoSpaceDN/>
        <w:bidi w:val="0"/>
        <w:snapToGrid w:val="0"/>
        <w:spacing w:beforeAutospacing="0" w:afterAutospacing="0" w:line="600" w:lineRule="exact"/>
        <w:ind w:left="0" w:leftChars="0" w:firstLine="640" w:firstLineChars="200"/>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自觉将东风区发展置于全国、全省大局中谋划推进，主动对接、深度融入重大区域战略，找准定位、发挥优势、积极作为，在服务大局中拓展发展新空间、塑造竞争新优势。</w:t>
      </w:r>
    </w:p>
    <w:p w14:paraId="073DB111">
      <w:pPr>
        <w:keepNext w:val="0"/>
        <w:keepLines w:val="0"/>
        <w:pageBreakBefore w:val="0"/>
        <w:widowControl w:val="0"/>
        <w:suppressLineNumbers w:val="0"/>
        <w:kinsoku/>
        <w:wordWrap/>
        <w:overflowPunct w:val="0"/>
        <w:topLinePunct w:val="0"/>
        <w:autoSpaceDE w:val="0"/>
        <w:autoSpaceDN/>
        <w:bidi w:val="0"/>
        <w:snapToGrid w:val="0"/>
        <w:spacing w:before="0" w:beforeAutospacing="0" w:after="0" w:afterAutospacing="0" w:line="600" w:lineRule="exact"/>
        <w:ind w:left="0" w:leftChars="0" w:right="0" w:firstLine="643" w:firstLineChars="200"/>
        <w:jc w:val="both"/>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第一节 主动融入国家重大区域战略。</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瞄准长三角、珠三角、粤港澳大湾区、京津冀等发达地区，积极承接优质产业转移，引进先进技术、管理经验和资本市场资源，助推本地产业转型升级。积极参与深化与中山市的对口合作，借鉴其产业发展、园区管理、营商环境建设经验，共谋产业合作方式，联合开展招商引资、技术研发和人才交流。</w:t>
      </w:r>
    </w:p>
    <w:p w14:paraId="2AD3739C">
      <w:pPr>
        <w:keepNext w:val="0"/>
        <w:keepLines w:val="0"/>
        <w:pageBreakBefore w:val="0"/>
        <w:widowControl w:val="0"/>
        <w:suppressLineNumbers w:val="0"/>
        <w:kinsoku/>
        <w:wordWrap/>
        <w:overflowPunct w:val="0"/>
        <w:topLinePunct w:val="0"/>
        <w:autoSpaceDE w:val="0"/>
        <w:autoSpaceDN/>
        <w:bidi w:val="0"/>
        <w:snapToGrid w:val="0"/>
        <w:spacing w:before="0" w:beforeAutospacing="0" w:after="0" w:afterAutospacing="0" w:line="600" w:lineRule="exact"/>
        <w:ind w:left="0" w:leftChars="0" w:right="0" w:firstLine="643" w:firstLineChars="200"/>
        <w:jc w:val="both"/>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第二节 全面强化与哈尔滨现代化都市圈联动发展。</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深度融入哈尔滨现代化都市圈产业布局，积极承接哈尔滨市在科技创新、金融资本、高端人才、信息资源方面的辐射外溢效应，鼓励区内骨干企业与哈工大、哈工程等高校及科研院所共建创新联合体或研发平台，开展寒地农业科技成果转移转化，推动农机装备、种子研发、绿色食品产业链跨区域分工。</w:t>
      </w:r>
    </w:p>
    <w:p w14:paraId="3471560D">
      <w:pPr>
        <w:keepNext w:val="0"/>
        <w:keepLines w:val="0"/>
        <w:pageBreakBefore w:val="0"/>
        <w:widowControl w:val="0"/>
        <w:suppressLineNumbers w:val="0"/>
        <w:kinsoku/>
        <w:wordWrap/>
        <w:overflowPunct w:val="0"/>
        <w:topLinePunct w:val="0"/>
        <w:autoSpaceDE w:val="0"/>
        <w:autoSpaceDN/>
        <w:bidi w:val="0"/>
        <w:snapToGrid w:val="0"/>
        <w:spacing w:before="0" w:beforeAutospacing="0" w:after="0" w:afterAutospacing="0" w:line="600" w:lineRule="exact"/>
        <w:ind w:left="0" w:leftChars="0" w:right="0" w:firstLine="643" w:firstLineChars="200"/>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第三节 深化区域协同联动。</w:t>
      </w:r>
      <w:r>
        <w:rPr>
          <w:rFonts w:hint="eastAsia" w:ascii="仿宋" w:hAnsi="仿宋" w:eastAsia="仿宋" w:cs="仿宋"/>
          <w:color w:val="000000" w:themeColor="text1"/>
          <w:highlight w:val="none"/>
          <w:lang w:eastAsia="zh"/>
          <w14:textFill>
            <w14:solidFill>
              <w14:schemeClr w14:val="tx1"/>
            </w14:solidFill>
          </w14:textFill>
          <w:woUserID w:val="2"/>
        </w:rPr>
        <w:t>主动对接松花江上下游城市产业布局，在绿色食品加工、清洁能源、生态旅游、</w:t>
      </w:r>
      <w:r>
        <w:rPr>
          <w:rFonts w:hint="eastAsia" w:ascii="仿宋" w:hAnsi="仿宋" w:eastAsia="仿宋" w:cs="仿宋"/>
          <w:color w:val="000000" w:themeColor="text1"/>
          <w:highlight w:val="none"/>
          <w:lang w:val="en-US" w:eastAsia="zh-CN"/>
          <w14:textFill>
            <w14:solidFill>
              <w14:schemeClr w14:val="tx1"/>
            </w14:solidFill>
          </w14:textFill>
          <w:woUserID w:val="2"/>
        </w:rPr>
        <w:t>现代</w:t>
      </w:r>
      <w:r>
        <w:rPr>
          <w:rFonts w:hint="eastAsia" w:ascii="仿宋" w:hAnsi="仿宋" w:eastAsia="仿宋" w:cs="仿宋"/>
          <w:color w:val="000000" w:themeColor="text1"/>
          <w:highlight w:val="none"/>
          <w:lang w:eastAsia="zh"/>
          <w14:textFill>
            <w14:solidFill>
              <w14:schemeClr w14:val="tx1"/>
            </w14:solidFill>
          </w14:textFill>
          <w:woUserID w:val="2"/>
        </w:rPr>
        <w:t>物流等领域深化协作。推动建立流域内科技、人才、信息、市场等要素共享平台与机制，打造产业关联、优势互补的松花江经济带东风区段。</w:t>
      </w:r>
      <w:r>
        <w:rPr>
          <w:rFonts w:hint="eastAsia" w:ascii="仿宋" w:hAnsi="仿宋" w:eastAsia="仿宋" w:cs="仿宋"/>
          <w:color w:val="000000" w:themeColor="text1"/>
          <w:highlight w:val="none"/>
          <w:lang w:val="en-US" w:eastAsia="zh-CN"/>
          <w14:textFill>
            <w14:solidFill>
              <w14:schemeClr w14:val="tx1"/>
            </w14:solidFill>
          </w14:textFill>
          <w:woUserID w:val="2"/>
        </w:rPr>
        <w:t>深化</w:t>
      </w:r>
      <w:r>
        <w:rPr>
          <w:rFonts w:hint="eastAsia" w:ascii="仿宋" w:hAnsi="仿宋" w:eastAsia="仿宋" w:cs="仿宋"/>
          <w:color w:val="000000" w:themeColor="text1"/>
          <w:highlight w:val="none"/>
          <w:lang w:eastAsia="zh"/>
          <w14:textFill>
            <w14:solidFill>
              <w14:schemeClr w14:val="tx1"/>
            </w14:solidFill>
          </w14:textFill>
          <w:woUserID w:val="2"/>
        </w:rPr>
        <w:t>与周边城市在基础设施互联互通、生态环境共保联治、文化旅游联合开发、应急管理协同联动等方面的合作</w:t>
      </w:r>
      <w:r>
        <w:rPr>
          <w:rFonts w:hint="eastAsia" w:ascii="仿宋" w:hAnsi="仿宋" w:eastAsia="仿宋" w:cs="仿宋"/>
          <w:color w:val="000000" w:themeColor="text1"/>
          <w:highlight w:val="none"/>
          <w:lang w:eastAsia="zh-CN"/>
          <w14:textFill>
            <w14:solidFill>
              <w14:schemeClr w14:val="tx1"/>
            </w14:solidFill>
          </w14:textFill>
          <w:woUserID w:val="2"/>
        </w:rPr>
        <w:t>，</w:t>
      </w:r>
      <w:r>
        <w:rPr>
          <w:rFonts w:hint="eastAsia" w:ascii="仿宋" w:hAnsi="仿宋" w:eastAsia="仿宋" w:cs="仿宋"/>
          <w:color w:val="000000" w:themeColor="text1"/>
          <w:highlight w:val="none"/>
          <w:lang w:eastAsia="zh"/>
          <w14:textFill>
            <w14:solidFill>
              <w14:schemeClr w14:val="tx1"/>
            </w14:solidFill>
          </w14:textFill>
          <w:woUserID w:val="2"/>
        </w:rPr>
        <w:t>共同策划实施一批跨区域的重大合作项目，提升区域整体竞争力，走出优势互补、互利共赢的区域协同发展新路。</w:t>
      </w:r>
    </w:p>
    <w:p w14:paraId="129AFD75">
      <w:pPr>
        <w:pStyle w:val="3"/>
        <w:pageBreakBefore w:val="0"/>
        <w:widowControl w:val="0"/>
        <w:kinsoku/>
        <w:wordWrap/>
        <w:overflowPunct w:val="0"/>
        <w:topLinePunct w:val="0"/>
        <w:autoSpaceDN/>
        <w:bidi w:val="0"/>
        <w:adjustRightInd w:val="0"/>
        <w:snapToGrid w:val="0"/>
        <w:spacing w:beforeAutospacing="0" w:afterAutospacing="0" w:line="600" w:lineRule="exact"/>
        <w:jc w:val="center"/>
        <w:textAlignment w:val="auto"/>
        <w:rPr>
          <w:rFonts w:hint="eastAsia" w:ascii="楷体" w:hAnsi="楷体" w:eastAsia="楷体" w:cs="楷体"/>
          <w:color w:val="000000" w:themeColor="text1"/>
          <w:highlight w:val="none"/>
          <w:lang w:val="en-US" w:eastAsia="zh-CN"/>
          <w14:textFill>
            <w14:solidFill>
              <w14:schemeClr w14:val="tx1"/>
            </w14:solidFill>
          </w14:textFill>
        </w:rPr>
      </w:pPr>
      <w:bookmarkStart w:id="53" w:name="_Toc11696"/>
      <w:r>
        <w:rPr>
          <w:rFonts w:hint="eastAsia" w:ascii="楷体" w:hAnsi="楷体" w:eastAsia="楷体" w:cs="楷体"/>
          <w:color w:val="000000" w:themeColor="text1"/>
          <w:highlight w:val="none"/>
          <w:lang w:val="en-US" w:eastAsia="zh-CN"/>
          <w14:textFill>
            <w14:solidFill>
              <w14:schemeClr w14:val="tx1"/>
            </w14:solidFill>
          </w14:textFill>
        </w:rPr>
        <w:t>第三十七章 优化区域发展布局</w:t>
      </w:r>
      <w:bookmarkEnd w:id="53"/>
    </w:p>
    <w:p w14:paraId="2C880E7A">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立足资源环境承载能力和国土空间开发适宜性，统筹全域空间资源配置，推动形成主体功能明显、优势互补、高质量发展的区域经济布局，提升整体发展效能。</w:t>
      </w:r>
    </w:p>
    <w:p w14:paraId="2541E53C">
      <w:pPr>
        <w:keepNext w:val="0"/>
        <w:keepLines w:val="0"/>
        <w:pageBreakBefore w:val="0"/>
        <w:widowControl w:val="0"/>
        <w:suppressLineNumbers w:val="0"/>
        <w:kinsoku/>
        <w:wordWrap/>
        <w:overflowPunct w:val="0"/>
        <w:topLinePunct w:val="0"/>
        <w:autoSpaceDE w:val="0"/>
        <w:autoSpaceDN/>
        <w:bidi w:val="0"/>
        <w:snapToGrid w:val="0"/>
        <w:spacing w:before="0" w:beforeAutospacing="0" w:after="0" w:afterAutospacing="0" w:line="600" w:lineRule="exact"/>
        <w:ind w:left="0" w:leftChars="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第一节 做强中心城区“东翼”支撑。</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严格落实“三线”管控要求，实施分区分类差异化用途管制，在城镇发展区、农产品主产区、重点生态功能区等不同空间单元，实施差别化、精细化的空间准入、用途转用和开发强度管制规则。</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积极吸引和承接符合东风区定位的总部经济、专业服务机构、文化创意产业等非核心功能转移。</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强化产业支撑和人口承载功能，加强</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与向阳区、前进区在现代商贸、金融服务、创意设计等领域的深度合作，共同打造服务全市、辐射周边的现代服务业集聚区</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依托佳木斯大学等高校资源优势，积极参与共建“环佳大创新创业生态圈”，在东风区布局建设科技成果转化中试基地、大学生创新创业基地，吸引和集聚青年创新人才与创业团队。</w:t>
      </w:r>
    </w:p>
    <w:p w14:paraId="18810CFC">
      <w:pPr>
        <w:keepNext w:val="0"/>
        <w:keepLines w:val="0"/>
        <w:pageBreakBefore w:val="0"/>
        <w:widowControl w:val="0"/>
        <w:suppressLineNumbers w:val="0"/>
        <w:kinsoku/>
        <w:wordWrap/>
        <w:overflowPunct w:val="0"/>
        <w:topLinePunct w:val="0"/>
        <w:autoSpaceDE w:val="0"/>
        <w:autoSpaceDN/>
        <w:bidi w:val="0"/>
        <w:adjustRightInd w:val="0"/>
        <w:snapToGrid w:val="0"/>
        <w:spacing w:before="0" w:beforeAutospacing="0" w:after="0" w:afterAutospacing="0" w:line="600" w:lineRule="exact"/>
        <w:ind w:left="0" w:leftChars="0" w:right="0" w:firstLine="643"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第二节 强化与高新区联动发展。</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主动对接高新区功能分区、产业布局和生态廊道体系，科学划定协同开发边界，预留重大基础设施廊道和产业承载空间</w:t>
      </w:r>
      <w:r>
        <w:rPr>
          <w:rFonts w:hint="eastAsia" w:ascii="仿宋" w:hAnsi="仿宋" w:eastAsia="仿宋" w:cs="仿宋"/>
          <w:b w:val="0"/>
          <w:bCs w:val="0"/>
          <w:color w:val="000000" w:themeColor="text1"/>
          <w:kern w:val="2"/>
          <w:sz w:val="32"/>
          <w:szCs w:val="32"/>
          <w:highlight w:val="none"/>
          <w:lang w:val="en-US" w:eastAsia="zh" w:bidi="ar"/>
          <w14:textFill>
            <w14:solidFill>
              <w14:schemeClr w14:val="tx1"/>
            </w14:solidFill>
          </w14:textFill>
          <w:woUserID w:val="2"/>
        </w:rPr>
        <w:t>。</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积极承接高新区孵化成熟的科技创新成果和产业化项目在东风区落地转化、扩大生产，提供充足的产业空间和配套支持。鼓励东风区传统制造企业与高新区科研院所、高新技术企业共建产业技术创新联盟、联合实验室和中试基地，围绕高端智能农机、生物技术、新材料等方向开展协同攻关。</w:t>
      </w:r>
      <w:r>
        <w:rPr>
          <w:rFonts w:hint="eastAsia" w:ascii="仿宋" w:hAnsi="仿宋" w:eastAsia="仿宋" w:cs="仿宋"/>
          <w:b w:val="0"/>
          <w:bCs w:val="0"/>
          <w:color w:val="000000" w:themeColor="text1"/>
          <w:kern w:val="2"/>
          <w:sz w:val="32"/>
          <w:szCs w:val="32"/>
          <w:highlight w:val="none"/>
          <w:lang w:val="en-US" w:eastAsia="zh" w:bidi="ar"/>
          <w14:textFill>
            <w14:solidFill>
              <w14:schemeClr w14:val="tx1"/>
            </w14:solidFill>
          </w14:textFill>
          <w:woUserID w:val="2"/>
        </w:rPr>
        <w:t>强化协同招商，</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组建专业化招商团队，共同制定重点产业链招商图谱，在项目引进、政策配套、土地供给等方面实现信息共享。</w:t>
      </w:r>
      <w:r>
        <w:rPr>
          <w:rFonts w:hint="eastAsia" w:ascii="仿宋" w:hAnsi="仿宋" w:eastAsia="仿宋" w:cs="仿宋"/>
          <w:b w:val="0"/>
          <w:bCs w:val="0"/>
          <w:color w:val="000000" w:themeColor="text1"/>
          <w:kern w:val="2"/>
          <w:sz w:val="32"/>
          <w:szCs w:val="32"/>
          <w:highlight w:val="none"/>
          <w:lang w:val="en-US" w:eastAsia="zh" w:bidi="ar"/>
          <w14:textFill>
            <w14:solidFill>
              <w14:schemeClr w14:val="tx1"/>
            </w14:solidFill>
          </w14:textFill>
          <w:woUserID w:val="2"/>
        </w:rPr>
        <w:t>深化税收分成、指标共享等利益联结机制，对跨区域联合引进的重大项目实行地方税收按比例分成，在能耗、用地、环境容量等指标上建立统筹调剂池，优先保障协同项目落地。</w:t>
      </w:r>
      <w:r>
        <w:rPr>
          <w:rFonts w:hint="eastAsia" w:ascii="仿宋" w:hAnsi="仿宋" w:eastAsia="仿宋" w:cs="仿宋"/>
          <w:b w:val="0"/>
          <w:bCs w:val="0"/>
          <w:color w:val="000000" w:themeColor="text1"/>
          <w:highlight w:val="none"/>
          <w:lang w:eastAsia="zh"/>
          <w14:textFill>
            <w14:solidFill>
              <w14:schemeClr w14:val="tx1"/>
            </w14:solidFill>
          </w14:textFill>
          <w:woUserID w:val="2"/>
        </w:rPr>
        <w:t>推动与高新区在规划、土地、交通、公共服务等领域的一体化衔接，</w:t>
      </w:r>
      <w:r>
        <w:rPr>
          <w:rFonts w:hint="eastAsia" w:ascii="仿宋" w:hAnsi="仿宋" w:eastAsia="仿宋" w:cs="仿宋"/>
          <w:color w:val="000000" w:themeColor="text1"/>
          <w:highlight w:val="none"/>
          <w:lang w:eastAsia="zh"/>
          <w14:textFill>
            <w14:solidFill>
              <w14:schemeClr w14:val="tx1"/>
            </w14:solidFill>
          </w14:textFill>
          <w:woUserID w:val="2"/>
        </w:rPr>
        <w:t>统筹推进供水、供电、燃气、通信等市政管网一体化布局。</w:t>
      </w:r>
      <w:r>
        <w:rPr>
          <w:rFonts w:hint="eastAsia" w:ascii="仿宋" w:hAnsi="仿宋" w:eastAsia="仿宋" w:cs="仿宋"/>
          <w:color w:val="000000" w:themeColor="text1"/>
          <w:highlight w:val="none"/>
          <w14:textFill>
            <w14:solidFill>
              <w14:schemeClr w14:val="tx1"/>
            </w14:solidFill>
          </w14:textFill>
        </w:rPr>
        <w:t>促进创新要素在区域间高效流动，加快将松江乡打造成</w:t>
      </w:r>
      <w:r>
        <w:rPr>
          <w:rFonts w:hint="eastAsia" w:ascii="仿宋" w:hAnsi="仿宋" w:eastAsia="仿宋" w:cs="仿宋"/>
          <w:color w:val="000000" w:themeColor="text1"/>
          <w:highlight w:val="none"/>
          <w:lang w:val="en-US" w:eastAsia="zh-CN"/>
          <w14:textFill>
            <w14:solidFill>
              <w14:schemeClr w14:val="tx1"/>
            </w14:solidFill>
          </w14:textFill>
        </w:rPr>
        <w:t>高新区</w:t>
      </w:r>
      <w:r>
        <w:rPr>
          <w:rFonts w:hint="eastAsia" w:ascii="仿宋" w:hAnsi="仿宋" w:eastAsia="仿宋" w:cs="仿宋"/>
          <w:color w:val="000000" w:themeColor="text1"/>
          <w:highlight w:val="none"/>
          <w14:textFill>
            <w14:solidFill>
              <w14:schemeClr w14:val="tx1"/>
            </w14:solidFill>
          </w14:textFill>
        </w:rPr>
        <w:t>重要的产业发展平台与城乡融合发展示范区。</w:t>
      </w:r>
    </w:p>
    <w:p w14:paraId="2F192844">
      <w:pPr>
        <w:keepNext w:val="0"/>
        <w:keepLines w:val="0"/>
        <w:pageBreakBefore w:val="0"/>
        <w:widowControl w:val="0"/>
        <w:suppressLineNumbers w:val="0"/>
        <w:kinsoku/>
        <w:wordWrap/>
        <w:overflowPunct w:val="0"/>
        <w:topLinePunct w:val="0"/>
        <w:autoSpaceDE w:val="0"/>
        <w:autoSpaceDN/>
        <w:bidi w:val="0"/>
        <w:adjustRightInd w:val="0"/>
        <w:snapToGrid w:val="0"/>
        <w:spacing w:before="0" w:beforeAutospacing="0" w:after="0" w:afterAutospacing="0" w:line="600" w:lineRule="exact"/>
        <w:ind w:left="0" w:leftChars="0" w:right="0" w:firstLine="643" w:firstLineChars="200"/>
        <w:jc w:val="both"/>
        <w:textAlignment w:val="auto"/>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highlight w:val="none"/>
          <w:lang w:val="en-US" w:eastAsia="zh-CN"/>
          <w14:textFill>
            <w14:solidFill>
              <w14:schemeClr w14:val="tx1"/>
            </w14:solidFill>
          </w14:textFill>
          <w:woUserID w:val="2"/>
        </w:rPr>
        <w:t xml:space="preserve">第三节 </w:t>
      </w:r>
      <w:r>
        <w:rPr>
          <w:rFonts w:hint="eastAsia" w:ascii="仿宋" w:hAnsi="仿宋" w:eastAsia="仿宋" w:cs="仿宋"/>
          <w:b/>
          <w:bCs/>
          <w:color w:val="000000" w:themeColor="text1"/>
          <w:highlight w:val="none"/>
          <w:lang w:eastAsia="zh"/>
          <w14:textFill>
            <w14:solidFill>
              <w14:schemeClr w14:val="tx1"/>
            </w14:solidFill>
          </w14:textFill>
          <w:woUserID w:val="2"/>
        </w:rPr>
        <w:t>强化与周边县市</w:t>
      </w:r>
      <w:r>
        <w:rPr>
          <w:rFonts w:hint="eastAsia" w:ascii="仿宋" w:hAnsi="仿宋" w:eastAsia="仿宋" w:cs="仿宋"/>
          <w:b/>
          <w:bCs/>
          <w:color w:val="000000" w:themeColor="text1"/>
          <w:highlight w:val="none"/>
          <w14:textFill>
            <w14:solidFill>
              <w14:schemeClr w14:val="tx1"/>
            </w14:solidFill>
          </w14:textFill>
        </w:rPr>
        <w:t>产业</w:t>
      </w:r>
      <w:r>
        <w:rPr>
          <w:rFonts w:hint="eastAsia" w:ascii="仿宋" w:hAnsi="仿宋" w:eastAsia="仿宋" w:cs="仿宋"/>
          <w:b/>
          <w:bCs/>
          <w:color w:val="000000" w:themeColor="text1"/>
          <w:highlight w:val="none"/>
          <w:lang w:eastAsia="zh"/>
          <w14:textFill>
            <w14:solidFill>
              <w14:schemeClr w14:val="tx1"/>
            </w14:solidFill>
          </w14:textFill>
          <w:woUserID w:val="2"/>
        </w:rPr>
        <w:t>协同</w:t>
      </w:r>
      <w:r>
        <w:rPr>
          <w:rFonts w:hint="eastAsia" w:ascii="仿宋" w:hAnsi="仿宋" w:eastAsia="仿宋" w:cs="仿宋"/>
          <w:b/>
          <w:bCs/>
          <w:color w:val="000000" w:themeColor="text1"/>
          <w:highlight w:val="none"/>
          <w14:textFill>
            <w14:solidFill>
              <w14:schemeClr w14:val="tx1"/>
            </w14:solidFill>
          </w14:textFill>
        </w:rPr>
        <w:t>。</w:t>
      </w:r>
      <w:r>
        <w:rPr>
          <w:rFonts w:hint="eastAsia" w:ascii="仿宋" w:hAnsi="仿宋" w:eastAsia="仿宋" w:cs="仿宋"/>
          <w:b w:val="0"/>
          <w:bCs w:val="0"/>
          <w:color w:val="000000" w:themeColor="text1"/>
          <w:kern w:val="2"/>
          <w:sz w:val="32"/>
          <w:szCs w:val="32"/>
          <w:highlight w:val="none"/>
          <w:lang w:eastAsia="zh"/>
          <w14:textFill>
            <w14:solidFill>
              <w14:schemeClr w14:val="tx1"/>
            </w14:solidFill>
          </w14:textFill>
          <w:woUserID w:val="2"/>
        </w:rPr>
        <w:t>强化与富锦、桦川、桦南等农业大县协同，开展从生产到加工的全链条合作。</w:t>
      </w:r>
      <w:r>
        <w:rPr>
          <w:rFonts w:hint="eastAsia" w:ascii="仿宋" w:hAnsi="仿宋" w:eastAsia="仿宋" w:cs="仿宋"/>
          <w:color w:val="000000" w:themeColor="text1"/>
          <w:highlight w:val="none"/>
          <w:lang w:eastAsia="zh"/>
          <w14:textFill>
            <w14:solidFill>
              <w14:schemeClr w14:val="tx1"/>
            </w14:solidFill>
          </w14:textFill>
          <w:woUserID w:val="2"/>
        </w:rPr>
        <w:t>深化与同江、抚远等口岸城市联动，共建跨境产业链供应链，推动在东风区布局建设面向俄罗斯及东北亚市场的出口产品加工基地、冷链物流中转基地和跨境电商前置仓。</w:t>
      </w:r>
      <w:r>
        <w:rPr>
          <w:rFonts w:hint="eastAsia" w:ascii="仿宋" w:hAnsi="仿宋" w:eastAsia="仿宋" w:cs="仿宋"/>
          <w:color w:val="000000" w:themeColor="text1"/>
          <w:highlight w:val="none"/>
          <w14:textFill>
            <w14:solidFill>
              <w14:schemeClr w14:val="tx1"/>
            </w14:solidFill>
          </w14:textFill>
          <w:woUserID w:val="2"/>
        </w:rPr>
        <w:t>深化与建三江农高区合作</w:t>
      </w:r>
      <w:r>
        <w:rPr>
          <w:rFonts w:hint="eastAsia" w:ascii="仿宋" w:hAnsi="仿宋" w:eastAsia="仿宋" w:cs="仿宋"/>
          <w:color w:val="000000" w:themeColor="text1"/>
          <w:highlight w:val="none"/>
          <w:lang w:eastAsia="zh"/>
          <w14:textFill>
            <w14:solidFill>
              <w14:schemeClr w14:val="tx1"/>
            </w14:solidFill>
          </w14:textFill>
          <w:woUserID w:val="2"/>
        </w:rPr>
        <w:t>，围绕水稻、大豆、玉米等主导产业共建现代农业核心产业链</w:t>
      </w:r>
      <w:r>
        <w:rPr>
          <w:rFonts w:hint="eastAsia" w:ascii="仿宋" w:hAnsi="仿宋" w:eastAsia="仿宋" w:cs="仿宋"/>
          <w:color w:val="000000" w:themeColor="text1"/>
          <w:highlight w:val="none"/>
          <w:lang w:eastAsia="zh-CN"/>
          <w14:textFill>
            <w14:solidFill>
              <w14:schemeClr w14:val="tx1"/>
            </w14:solidFill>
          </w14:textFill>
          <w:woUserID w:val="2"/>
        </w:rPr>
        <w:t>，</w:t>
      </w:r>
      <w:r>
        <w:rPr>
          <w:rFonts w:hint="eastAsia" w:ascii="仿宋" w:hAnsi="仿宋" w:eastAsia="仿宋" w:cs="仿宋"/>
          <w:color w:val="000000" w:themeColor="text1"/>
          <w:highlight w:val="none"/>
          <w:lang w:val="en-US" w:eastAsia="zh-CN"/>
          <w14:textFill>
            <w14:solidFill>
              <w14:schemeClr w14:val="tx1"/>
            </w14:solidFill>
          </w14:textFill>
          <w:woUserID w:val="2"/>
        </w:rPr>
        <w:t>协同</w:t>
      </w:r>
      <w:r>
        <w:rPr>
          <w:rFonts w:hint="eastAsia" w:ascii="仿宋" w:hAnsi="仿宋" w:eastAsia="仿宋" w:cs="仿宋"/>
          <w:color w:val="000000" w:themeColor="text1"/>
          <w:highlight w:val="none"/>
          <w:lang w:eastAsia="zh"/>
          <w14:textFill>
            <w14:solidFill>
              <w14:schemeClr w14:val="tx1"/>
            </w14:solidFill>
          </w14:textFill>
          <w:woUserID w:val="2"/>
        </w:rPr>
        <w:t>推进黑土地保护、智慧农业技术推广、大型农机社会化服务、粮食产后服务体系建设。</w:t>
      </w:r>
    </w:p>
    <w:p w14:paraId="1969F6A5">
      <w:pPr>
        <w:pStyle w:val="3"/>
        <w:pageBreakBefore w:val="0"/>
        <w:widowControl w:val="0"/>
        <w:kinsoku/>
        <w:wordWrap/>
        <w:overflowPunct w:val="0"/>
        <w:topLinePunct w:val="0"/>
        <w:autoSpaceDN/>
        <w:bidi w:val="0"/>
        <w:adjustRightInd w:val="0"/>
        <w:snapToGrid w:val="0"/>
        <w:spacing w:beforeAutospacing="0" w:afterAutospacing="0" w:line="600" w:lineRule="exact"/>
        <w:jc w:val="center"/>
        <w:textAlignment w:val="auto"/>
        <w:rPr>
          <w:rFonts w:hint="eastAsia" w:ascii="楷体" w:hAnsi="楷体" w:eastAsia="楷体" w:cs="楷体"/>
          <w:color w:val="000000" w:themeColor="text1"/>
          <w:highlight w:val="none"/>
          <w:lang w:val="en-US" w:eastAsia="zh-CN"/>
          <w14:textFill>
            <w14:solidFill>
              <w14:schemeClr w14:val="tx1"/>
            </w14:solidFill>
          </w14:textFill>
        </w:rPr>
      </w:pPr>
      <w:bookmarkStart w:id="54" w:name="_Toc18613"/>
      <w:r>
        <w:rPr>
          <w:rFonts w:hint="eastAsia" w:ascii="楷体" w:hAnsi="楷体" w:eastAsia="楷体" w:cs="楷体"/>
          <w:color w:val="000000" w:themeColor="text1"/>
          <w:highlight w:val="none"/>
          <w:lang w:val="en-US" w:eastAsia="zh-CN"/>
          <w14:textFill>
            <w14:solidFill>
              <w14:schemeClr w14:val="tx1"/>
            </w14:solidFill>
          </w14:textFill>
        </w:rPr>
        <w:t>第三十八章 推进以人为本的新型城镇化</w:t>
      </w:r>
      <w:bookmarkEnd w:id="54"/>
    </w:p>
    <w:p w14:paraId="63D7C557">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以提升城市发展质量为导向，统筹规划、建设、管理和治理，使城市更加健康、安全、宜居，并成为人民群众高品质生活的空间载体。</w:t>
      </w:r>
    </w:p>
    <w:p w14:paraId="39319C01">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第一节 科学有序推进农业转移人口市民化。</w:t>
      </w:r>
      <w:r>
        <w:rPr>
          <w:rFonts w:hint="eastAsia" w:ascii="仿宋" w:hAnsi="仿宋" w:eastAsia="仿宋" w:cs="仿宋"/>
          <w:color w:val="000000" w:themeColor="text1"/>
          <w:highlight w:val="none"/>
          <w:lang w:val="en-US" w:eastAsia="zh-CN"/>
          <w14:textFill>
            <w14:solidFill>
              <w14:schemeClr w14:val="tx1"/>
            </w14:solidFill>
          </w14:textFill>
        </w:rPr>
        <w:t>建立健全基本公共服务提供机制，稳步实现义务教育、就业服务、养老托育、医疗卫生、住房保障等基本公共服务对常住人口全覆盖。加强对农业转移人口的职业技能培训、法治观念教育和城市生活常识普及。加大进城落户农民合法权益保障力度，推动社区包容性发展，营造开放融合的社会氛围。</w:t>
      </w:r>
    </w:p>
    <w:p w14:paraId="4A404820">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第二节 实施城市更新行动。</w:t>
      </w:r>
      <w:r>
        <w:rPr>
          <w:rFonts w:hint="eastAsia" w:ascii="仿宋" w:hAnsi="仿宋" w:eastAsia="仿宋" w:cs="仿宋"/>
          <w:color w:val="000000" w:themeColor="text1"/>
          <w:highlight w:val="none"/>
          <w:lang w:val="en-US" w:eastAsia="zh-CN"/>
          <w14:textFill>
            <w14:solidFill>
              <w14:schemeClr w14:val="tx1"/>
            </w14:solidFill>
          </w14:textFill>
        </w:rPr>
        <w:t>积极补齐基础设施短板，加快推进道路桥梁、地下管网建设改造，加强无障碍环境建设和适老化改造。持续推进老旧小区改造，鼓励老旧小区加装电梯。加强对历史文化街区、历史建筑的保护修缮与活化利用，延续城市历史文脉，塑造特色风貌。全面推进“智慧城市”建设，推动城市运行“一网统管”，深化智慧交通、智慧城管、智慧安防、智慧应急等应用场景建设，探索智慧农业与智慧城市协同发展模式。</w:t>
      </w:r>
    </w:p>
    <w:p w14:paraId="615B0D85">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第三节 强化产城融合互动。</w:t>
      </w:r>
      <w:r>
        <w:rPr>
          <w:rFonts w:hint="eastAsia" w:ascii="仿宋" w:hAnsi="仿宋" w:eastAsia="仿宋" w:cs="仿宋"/>
          <w:b w:val="0"/>
          <w:bCs w:val="0"/>
          <w:color w:val="000000" w:themeColor="text1"/>
          <w:highlight w:val="none"/>
          <w:lang w:val="en-US" w:eastAsia="zh-CN"/>
          <w14:textFill>
            <w14:solidFill>
              <w14:schemeClr w14:val="tx1"/>
            </w14:solidFill>
          </w14:textFill>
        </w:rPr>
        <w:t>坚持以产业集聚带动人口集聚，围绕绿色</w:t>
      </w:r>
      <w:r>
        <w:rPr>
          <w:rFonts w:hint="eastAsia" w:ascii="仿宋" w:hAnsi="仿宋" w:eastAsia="仿宋" w:cs="仿宋"/>
          <w:color w:val="000000" w:themeColor="text1"/>
          <w:highlight w:val="none"/>
          <w:lang w:val="en-US" w:eastAsia="zh-CN"/>
          <w14:textFill>
            <w14:solidFill>
              <w14:schemeClr w14:val="tx1"/>
            </w14:solidFill>
          </w14:textFill>
        </w:rPr>
        <w:t>食品、高端装备等产业，在松江乡科学布局孵化基地和标准厂房，创造更多高质量就业岗位，引导人口就近城镇化、就地市民化。统筹规划产业功能区、居住区、商业区和公共服务设施，推动形成“以产兴城、以城促产、产城一体”的发展格局。提升城区教育、医疗、文化、体育等优质公共服务供给能力，增强对全区乃至周边区域的辐射带动作用。</w:t>
      </w:r>
    </w:p>
    <w:p w14:paraId="14E38559">
      <w:pPr>
        <w:pStyle w:val="3"/>
        <w:pageBreakBefore w:val="0"/>
        <w:widowControl w:val="0"/>
        <w:kinsoku/>
        <w:wordWrap/>
        <w:overflowPunct w:val="0"/>
        <w:topLinePunct w:val="0"/>
        <w:autoSpaceDN/>
        <w:bidi w:val="0"/>
        <w:adjustRightInd w:val="0"/>
        <w:snapToGrid w:val="0"/>
        <w:spacing w:beforeAutospacing="0" w:afterAutospacing="0" w:line="600" w:lineRule="exact"/>
        <w:jc w:val="center"/>
        <w:textAlignment w:val="auto"/>
        <w:rPr>
          <w:rFonts w:hint="eastAsia" w:ascii="楷体" w:hAnsi="楷体" w:eastAsia="楷体" w:cs="楷体"/>
          <w:color w:val="000000" w:themeColor="text1"/>
          <w:highlight w:val="none"/>
          <w:lang w:val="en-US" w:eastAsia="zh-CN"/>
          <w14:textFill>
            <w14:solidFill>
              <w14:schemeClr w14:val="tx1"/>
            </w14:solidFill>
          </w14:textFill>
        </w:rPr>
      </w:pPr>
      <w:bookmarkStart w:id="55" w:name="_Toc20394"/>
      <w:r>
        <w:rPr>
          <w:rFonts w:hint="eastAsia" w:ascii="楷体" w:hAnsi="楷体" w:eastAsia="楷体" w:cs="楷体"/>
          <w:color w:val="000000" w:themeColor="text1"/>
          <w:highlight w:val="none"/>
          <w:lang w:val="en-US" w:eastAsia="zh-CN"/>
          <w14:textFill>
            <w14:solidFill>
              <w14:schemeClr w14:val="tx1"/>
            </w14:solidFill>
          </w14:textFill>
        </w:rPr>
        <w:t>第三十九章 大力发展县域经济</w:t>
      </w:r>
      <w:bookmarkEnd w:id="55"/>
    </w:p>
    <w:p w14:paraId="3FEBD354">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坚持把县域作为城乡融合发展的重要切入点，突出特色、分类指导，做强产业、做优功能，全面提升县域经济综合实力。</w:t>
      </w:r>
    </w:p>
    <w:p w14:paraId="2431087A">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14:textFill>
            <w14:solidFill>
              <w14:schemeClr w14:val="tx1"/>
            </w14:solidFill>
          </w14:textFill>
        </w:rPr>
        <w:t>筑牢强区富民产业根基</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val="0"/>
          <w:bCs w:val="0"/>
          <w:color w:val="000000" w:themeColor="text1"/>
          <w:highlight w:val="none"/>
          <w:lang w:eastAsia="zh-CN"/>
          <w14:textFill>
            <w14:solidFill>
              <w14:schemeClr w14:val="tx1"/>
            </w14:solidFill>
          </w14:textFill>
        </w:rPr>
        <w:t>坚持兴业、强</w:t>
      </w:r>
      <w:r>
        <w:rPr>
          <w:rFonts w:hint="eastAsia" w:ascii="仿宋" w:hAnsi="仿宋" w:eastAsia="仿宋" w:cs="仿宋"/>
          <w:b w:val="0"/>
          <w:bCs w:val="0"/>
          <w:color w:val="000000" w:themeColor="text1"/>
          <w:highlight w:val="none"/>
          <w:lang w:val="en-US" w:eastAsia="zh-CN"/>
          <w14:textFill>
            <w14:solidFill>
              <w14:schemeClr w14:val="tx1"/>
            </w14:solidFill>
          </w14:textFill>
        </w:rPr>
        <w:t>区</w:t>
      </w:r>
      <w:r>
        <w:rPr>
          <w:rFonts w:hint="eastAsia" w:ascii="仿宋" w:hAnsi="仿宋" w:eastAsia="仿宋" w:cs="仿宋"/>
          <w:b w:val="0"/>
          <w:bCs w:val="0"/>
          <w:color w:val="000000" w:themeColor="text1"/>
          <w:highlight w:val="none"/>
          <w:lang w:eastAsia="zh-CN"/>
          <w14:textFill>
            <w14:solidFill>
              <w14:schemeClr w14:val="tx1"/>
            </w14:solidFill>
          </w14:textFill>
        </w:rPr>
        <w:t>、富民一体发展，</w:t>
      </w:r>
      <w:r>
        <w:rPr>
          <w:rFonts w:hint="eastAsia" w:ascii="仿宋" w:hAnsi="仿宋" w:eastAsia="仿宋" w:cs="仿宋"/>
          <w:color w:val="000000" w:themeColor="text1"/>
          <w:highlight w:val="none"/>
          <w14:textFill>
            <w14:solidFill>
              <w14:schemeClr w14:val="tx1"/>
            </w14:solidFill>
          </w14:textFill>
        </w:rPr>
        <w:t>实施县域经济高质量发展行动计划，立足东风区资源禀赋与产业基础，聚焦寒地种业、农产品精深加工、高端装备等领域，集中资源打造具有区域影响力和市场竞争力的特色产业集群。实施龙头企业培育工程，在政策、要素、服务等方面予以倾斜，支持通过技术改造、兼并重组、上市融资等方式做大做强。推动龙头企业与农民合作社、家庭农场、小微企业组建产业联盟，构建紧密型利益联结机制，将产业链增值收益更多留在</w:t>
      </w:r>
      <w:r>
        <w:rPr>
          <w:rFonts w:hint="eastAsia" w:ascii="仿宋" w:hAnsi="仿宋" w:eastAsia="仿宋" w:cs="仿宋"/>
          <w:color w:val="000000" w:themeColor="text1"/>
          <w:highlight w:val="none"/>
          <w:lang w:val="en-US" w:eastAsia="zh-CN"/>
          <w14:textFill>
            <w14:solidFill>
              <w14:schemeClr w14:val="tx1"/>
            </w14:solidFill>
          </w14:textFill>
        </w:rPr>
        <w:t>东风区，</w:t>
      </w:r>
      <w:r>
        <w:rPr>
          <w:rFonts w:hint="eastAsia" w:ascii="仿宋" w:hAnsi="仿宋" w:eastAsia="仿宋" w:cs="仿宋"/>
          <w:color w:val="000000" w:themeColor="text1"/>
          <w:highlight w:val="none"/>
          <w14:textFill>
            <w14:solidFill>
              <w14:schemeClr w14:val="tx1"/>
            </w14:solidFill>
          </w14:textFill>
        </w:rPr>
        <w:t>惠及</w:t>
      </w:r>
      <w:r>
        <w:rPr>
          <w:rFonts w:hint="eastAsia" w:ascii="仿宋" w:hAnsi="仿宋" w:eastAsia="仿宋" w:cs="仿宋"/>
          <w:color w:val="000000" w:themeColor="text1"/>
          <w:highlight w:val="none"/>
          <w:lang w:val="en-US" w:eastAsia="zh-CN"/>
          <w14:textFill>
            <w14:solidFill>
              <w14:schemeClr w14:val="tx1"/>
            </w14:solidFill>
          </w14:textFill>
        </w:rPr>
        <w:t>更多群众</w:t>
      </w:r>
      <w:r>
        <w:rPr>
          <w:rFonts w:hint="eastAsia" w:ascii="仿宋" w:hAnsi="仿宋" w:eastAsia="仿宋" w:cs="仿宋"/>
          <w:color w:val="000000" w:themeColor="text1"/>
          <w:highlight w:val="none"/>
          <w14:textFill>
            <w14:solidFill>
              <w14:schemeClr w14:val="tx1"/>
            </w14:solidFill>
          </w14:textFill>
        </w:rPr>
        <w:t>。</w:t>
      </w:r>
    </w:p>
    <w:p w14:paraId="6EE873F8">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14:textFill>
            <w14:solidFill>
              <w14:schemeClr w14:val="tx1"/>
            </w14:solidFill>
          </w14:textFill>
        </w:rPr>
        <w:t>深化国土空间治理</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val="0"/>
          <w:bCs w:val="0"/>
          <w:color w:val="000000" w:themeColor="text1"/>
          <w:highlight w:val="none"/>
          <w:lang w:val="en-US" w:eastAsia="zh-CN"/>
          <w14:textFill>
            <w14:solidFill>
              <w14:schemeClr w14:val="tx1"/>
            </w14:solidFill>
          </w14:textFill>
        </w:rPr>
        <w:t>严格实施</w:t>
      </w:r>
      <w:r>
        <w:rPr>
          <w:rFonts w:hint="eastAsia" w:ascii="仿宋" w:hAnsi="仿宋" w:eastAsia="仿宋" w:cs="仿宋"/>
          <w:b w:val="0"/>
          <w:bCs w:val="0"/>
          <w:color w:val="000000" w:themeColor="text1"/>
          <w:highlight w:val="none"/>
          <w:lang w:eastAsia="zh-CN"/>
          <w14:textFill>
            <w14:solidFill>
              <w14:schemeClr w14:val="tx1"/>
            </w14:solidFill>
          </w14:textFill>
        </w:rPr>
        <w:t>国土空间总体规划，科学布局生态、农业、城镇空间。稳步推进以乡镇为基本实施单元的全域土地综合整治，统筹开展农用地整理、建设用地整理和乡村生态保护修复，优化生产、生活、生态空间格局，提升土地节约集约利用水平和生态功能。探索建立城镇低效用地再开发、农村集体经营性建设用地入市、宅基地有偿退出与盘活利用的联动机制，为产业发展和城乡建设项目提供有效空间保障。</w:t>
      </w:r>
    </w:p>
    <w:p w14:paraId="5B4E2E91">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第三节 优化城乡发展布局</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实现城乡产业、基础设施、公共服务布局一体化。强化东风区主城区在产业发展、商贸物流、科技创新、公共服务等方面的集聚辐射能力，发挥其对全区城乡融合发展的核心引擎作用。将松江乡、建国镇建设成为承接城区功能外溢、服务周边农村生产生活的区域中心和城乡融合示范节点。分类推进乡村建设，依据村庄资源禀赋和发展条件，科学划分类型，保护提升具有历史文化、产业特色、生态价值的村庄。优化“城区-乡镇-中心村”三级体系，强化基础设施和公共服务联动配置，形成功能互补、特色鲜明、协调联动的城乡发展共同体。</w:t>
      </w:r>
    </w:p>
    <w:p w14:paraId="68303851">
      <w:pPr>
        <w:pStyle w:val="2"/>
        <w:keepNext w:val="0"/>
        <w:keepLines w:val="0"/>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lang w:eastAsia="zh"/>
          <w14:textFill>
            <w14:solidFill>
              <w14:schemeClr w14:val="tx1"/>
            </w14:solidFill>
          </w14:textFill>
        </w:rPr>
      </w:pPr>
      <w:bookmarkStart w:id="56" w:name="_Toc23733"/>
      <w:r>
        <w:rPr>
          <w:rFonts w:hint="default" w:ascii="Times New Roman" w:hAnsi="Times New Roman" w:cs="Times New Roman"/>
          <w:color w:val="000000" w:themeColor="text1"/>
          <w:highlight w:val="none"/>
          <w:lang w:eastAsia="zh"/>
          <w14:textFill>
            <w14:solidFill>
              <w14:schemeClr w14:val="tx1"/>
            </w14:solidFill>
          </w14:textFill>
          <w:woUserID w:val="2"/>
        </w:rPr>
        <w:t>第</w:t>
      </w:r>
      <w:r>
        <w:rPr>
          <w:rFonts w:hint="default" w:ascii="Times New Roman" w:hAnsi="Times New Roman" w:cs="Times New Roman"/>
          <w:color w:val="000000" w:themeColor="text1"/>
          <w:highlight w:val="none"/>
          <w:lang w:val="en-US" w:eastAsia="zh-CN"/>
          <w14:textFill>
            <w14:solidFill>
              <w14:schemeClr w14:val="tx1"/>
            </w14:solidFill>
          </w14:textFill>
        </w:rPr>
        <w:t>十一篇</w:t>
      </w:r>
      <w:r>
        <w:rPr>
          <w:rFonts w:hint="default" w:ascii="Times New Roman" w:hAnsi="Times New Roman" w:cs="Times New Roman"/>
          <w:color w:val="000000" w:themeColor="text1"/>
          <w:highlight w:val="none"/>
          <w:lang w:eastAsia="zh"/>
          <w14:textFill>
            <w14:solidFill>
              <w14:schemeClr w14:val="tx1"/>
            </w14:solidFill>
          </w14:textFill>
          <w:woUserID w:val="2"/>
        </w:rPr>
        <w:t xml:space="preserve"> 繁荣发展</w:t>
      </w:r>
      <w:r>
        <w:rPr>
          <w:rFonts w:hint="default" w:ascii="Times New Roman" w:hAnsi="Times New Roman" w:cs="Times New Roman"/>
          <w:color w:val="000000" w:themeColor="text1"/>
          <w:highlight w:val="none"/>
          <w:lang w:val="en-US" w:eastAsia="zh-CN"/>
          <w14:textFill>
            <w14:solidFill>
              <w14:schemeClr w14:val="tx1"/>
            </w14:solidFill>
          </w14:textFill>
          <w:woUserID w:val="2"/>
        </w:rPr>
        <w:t>社会主义</w:t>
      </w:r>
      <w:r>
        <w:rPr>
          <w:rFonts w:hint="default" w:ascii="Times New Roman" w:hAnsi="Times New Roman" w:cs="Times New Roman"/>
          <w:color w:val="000000" w:themeColor="text1"/>
          <w:highlight w:val="none"/>
          <w:lang w:eastAsia="zh"/>
          <w14:textFill>
            <w14:solidFill>
              <w14:schemeClr w14:val="tx1"/>
            </w14:solidFill>
          </w14:textFill>
          <w:woUserID w:val="2"/>
        </w:rPr>
        <w:t>文化，推动文化和旅游深度融合</w:t>
      </w:r>
      <w:bookmarkEnd w:id="56"/>
    </w:p>
    <w:p w14:paraId="4EC5A842">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color w:val="000000" w:themeColor="text1"/>
          <w:highlight w:val="none"/>
          <w14:textFill>
            <w14:solidFill>
              <w14:schemeClr w14:val="tx1"/>
            </w14:solidFill>
          </w14:textFill>
        </w:rPr>
        <w:t>将文化繁荣作为凝聚人心、激发动力的精神源泉，将文旅融合作为优化经济结构、提升城区魅力的战略支点，构建文化引领、产业联动、主客共享的新发展格局。</w:t>
      </w:r>
    </w:p>
    <w:p w14:paraId="6A69D02B">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woUserID w:val="2"/>
        </w:rPr>
      </w:pPr>
      <w:bookmarkStart w:id="57" w:name="_Toc4610"/>
      <w:r>
        <w:rPr>
          <w:rFonts w:hint="eastAsia" w:ascii="楷体" w:hAnsi="楷体" w:eastAsia="楷体" w:cs="楷体"/>
          <w:color w:val="000000" w:themeColor="text1"/>
          <w:highlight w:val="none"/>
          <w:lang w:val="en-US" w:eastAsia="zh-CN"/>
          <w14:textFill>
            <w14:solidFill>
              <w14:schemeClr w14:val="tx1"/>
            </w14:solidFill>
          </w14:textFill>
          <w:woUserID w:val="2"/>
        </w:rPr>
        <w:t>第四十章 弘扬和践行社会主义核心价值观</w:t>
      </w:r>
      <w:bookmarkEnd w:id="57"/>
    </w:p>
    <w:p w14:paraId="73C556C7">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坚持把培育和弘扬社会主义核心价值观作为凝魂聚气、强基固本的基础工程，贯穿于经济社会发展全过程各方面，将其转化为人们的情感认同和行为习惯，为加快推动高质量发展提供强大价值引导力、文化凝聚力和精神推动力。</w:t>
      </w:r>
    </w:p>
    <w:p w14:paraId="7722B13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第一节 筑牢理想信念根基。</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深化党的创新理论学习宣传教育，用好东北抗联雕塑馆等红色资源</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，积极传承弘扬东北抗联精神、北大荒精神和东北小延安文化。建好用好红色教育实践基地，</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将红色基因传承全面融入学校思想政治教育，开发校本课程，开展“开学第一课”、主题团队日等活动，推进红色文化进校园、进课堂、进头脑。健全社会信用体系，完善守信激励和失信惩戒机制，积极开展诚信行业、诚信单位、诚信示范街区等创建活动。加强廉洁文化教育和宣传，将廉洁要求融入日常生活、行业规范、村规民约，营造崇廉尚实的社会风尚。</w:t>
      </w:r>
    </w:p>
    <w:p w14:paraId="175E6C3C">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第二节 拓展文明实践内涵。</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深入贯彻落实《佳木斯市文明行为促进条例》，针对公共秩序、环境卫生、交通出行、网络空间等领域，开展常态化宣传引导与规范管理。持续开展社会公德、职业道德、家庭美德、个人品德教育实践活动，精心组织道德模范、身边好人、“最美东风人”等选树宣传，发挥榜样示范作用。深化文明家庭、文明校园、文明村镇、文明单位创建，激发基层细胞活力。重点推进农村地区移风易俗，发挥村规民约作用，整治陈规陋习。深入开展爱国卫生运动，大力倡导“文明健康、绿色环保”的生活方式，普及健康知识，推广垃圾分类、光盘行动、绿色出行，建设整洁优美、健康宜居的城乡环境。探索建立“文明积分”制度，对文明行为给予社区福利、信用评价等方面的正向激励。</w:t>
      </w:r>
    </w:p>
    <w:p w14:paraId="39F74A7A">
      <w:pPr>
        <w:keepNext w:val="0"/>
        <w:keepLines w:val="0"/>
        <w:pageBreakBefore w:val="0"/>
        <w:widowControl w:val="0"/>
        <w:suppressLineNumbers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第三节 拓展新时代文明实践阵地功能。</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推动新时代文明实践中心（所、站）建设提质增效，创新实施“文明实践+理论宣讲”“文明实践+惠民服务”“文明实践+移风易俗”等模式。整合区、乡（镇）、村（社区）三级资源，精准对接群众需求，常态化开展政策解读、技能培训、健康义诊、法律援助等志愿服务项目。</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依托文明实践凉亭、主题公园等载体，常态化开展理论宣讲、教育、文化、科普等服务。依托“佳家驿站”等基层综合服务阵地，推动优质文化资源、品牌活动、志愿服务项目向农村地区倾斜，促进城乡精神文明建设均衡发展。探索建设“云端新时代文明实践中心”，开发集成活动预告、在线报名、课程直播、积分兑换等功能的小程序，打造“永不打烊”的数字化阵地，吸引年轻群体参与，扩大文明实践的覆盖面和影响力。</w:t>
      </w:r>
    </w:p>
    <w:p w14:paraId="1DFE2090">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woUserID w:val="2"/>
        </w:rPr>
      </w:pPr>
      <w:bookmarkStart w:id="58" w:name="_Toc22078"/>
      <w:r>
        <w:rPr>
          <w:rFonts w:hint="eastAsia" w:ascii="楷体" w:hAnsi="楷体" w:eastAsia="楷体" w:cs="楷体"/>
          <w:color w:val="000000" w:themeColor="text1"/>
          <w:highlight w:val="none"/>
          <w:lang w:eastAsia="zh"/>
          <w14:textFill>
            <w14:solidFill>
              <w14:schemeClr w14:val="tx1"/>
            </w14:solidFill>
          </w14:textFill>
          <w:woUserID w:val="2"/>
        </w:rPr>
        <w:t>第</w:t>
      </w:r>
      <w:r>
        <w:rPr>
          <w:rFonts w:hint="eastAsia" w:ascii="楷体" w:hAnsi="楷体" w:eastAsia="楷体" w:cs="楷体"/>
          <w:color w:val="000000" w:themeColor="text1"/>
          <w:highlight w:val="none"/>
          <w:lang w:val="en-US" w:eastAsia="zh-CN"/>
          <w14:textFill>
            <w14:solidFill>
              <w14:schemeClr w14:val="tx1"/>
            </w14:solidFill>
          </w14:textFill>
          <w:woUserID w:val="2"/>
        </w:rPr>
        <w:t>四十一章</w:t>
      </w:r>
      <w:r>
        <w:rPr>
          <w:rFonts w:hint="eastAsia" w:ascii="楷体" w:hAnsi="楷体" w:eastAsia="楷体" w:cs="楷体"/>
          <w:color w:val="000000" w:themeColor="text1"/>
          <w:highlight w:val="none"/>
          <w:lang w:eastAsia="zh"/>
          <w14:textFill>
            <w14:solidFill>
              <w14:schemeClr w14:val="tx1"/>
            </w14:solidFill>
          </w14:textFill>
          <w:woUserID w:val="2"/>
        </w:rPr>
        <w:t xml:space="preserve"> </w:t>
      </w:r>
      <w:r>
        <w:rPr>
          <w:rFonts w:hint="eastAsia" w:ascii="楷体" w:hAnsi="楷体" w:eastAsia="楷体" w:cs="楷体"/>
          <w:color w:val="000000" w:themeColor="text1"/>
          <w:highlight w:val="none"/>
          <w:lang w:val="en-US" w:eastAsia="zh-CN"/>
          <w14:textFill>
            <w14:solidFill>
              <w14:schemeClr w14:val="tx1"/>
            </w14:solidFill>
          </w14:textFill>
          <w:woUserID w:val="2"/>
        </w:rPr>
        <w:t>推动</w:t>
      </w:r>
      <w:r>
        <w:rPr>
          <w:rFonts w:hint="eastAsia" w:ascii="楷体" w:hAnsi="楷体" w:eastAsia="楷体" w:cs="楷体"/>
          <w:color w:val="000000" w:themeColor="text1"/>
          <w:highlight w:val="none"/>
          <w:lang w:eastAsia="zh"/>
          <w14:textFill>
            <w14:solidFill>
              <w14:schemeClr w14:val="tx1"/>
            </w14:solidFill>
          </w14:textFill>
          <w:woUserID w:val="2"/>
        </w:rPr>
        <w:t>文化事业</w:t>
      </w:r>
      <w:r>
        <w:rPr>
          <w:rFonts w:hint="eastAsia" w:ascii="楷体" w:hAnsi="楷体" w:eastAsia="楷体" w:cs="楷体"/>
          <w:color w:val="000000" w:themeColor="text1"/>
          <w:highlight w:val="none"/>
          <w:lang w:val="en-US" w:eastAsia="zh-CN"/>
          <w14:textFill>
            <w14:solidFill>
              <w14:schemeClr w14:val="tx1"/>
            </w14:solidFill>
          </w14:textFill>
          <w:woUserID w:val="2"/>
        </w:rPr>
        <w:t>繁荣</w:t>
      </w:r>
      <w:bookmarkEnd w:id="58"/>
    </w:p>
    <w:p w14:paraId="6828C179">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以满足人民精神文化需求为出发点和落脚点，着力提升公共文化服务水平，激发文化创新创造活力，建设更具魅力、更有温度的文化强区。</w:t>
      </w:r>
    </w:p>
    <w:p w14:paraId="39B1056F">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第一节 构建便捷高效的公共文化服务网络。</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2"/>
        </w:rPr>
        <w:t>坚持文化惠民导向，</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优化文化设施网络布局，推动村（社区）综合性文化服务中心全覆盖。推动公共文化设施与党群服务中心、“佳家驿站”等阵地资源整合共享，将文化空间融入公园绿地与生活圈。推动公共文化场所数字化升级，建设数字文化馆、图书馆，利用新媒体平台开展线上展览、云课堂等服务。建立城乡“结对子、种文化”工作机制，推动优质文化资源与数字服务向农村倾斜，缩小城乡文化差距，构建覆盖城乡、便捷高效的现代公共文化服务体系。</w:t>
      </w:r>
    </w:p>
    <w:p w14:paraId="7A266EAE">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第二节 强化文化遗产保护传承与创新利用</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实施文化遗产保护传承工程，开展全域文化遗产资源普查，建立非遗项目和代表性传承人档案库，运用影音、3D建模等技术实现数字化保存与管理。重点加强红色文化保护，完善东北抗联雕塑馆配套设施，系统收集整理抗联故事、实物资料。大力推动东珠加工、剪纸、鱼皮画等非遗资源活化，联动市级资源，在东兴城步行街、主题公园等载体植入非遗手作体验，培育“非遗+研学+消费”新业态。引导传统文化与现代审美、市场需求结合，鼓励设计机构、文创企业与传承人合作，开发兼具实用价值和东风区特色的文创商品、旅游纪念品。探索设立文创产品研发中心与线上推广平台，打通设计、生产、销售链条，推动非遗从“展示品”变为“消费品”，激活文化内生动力。</w:t>
      </w:r>
    </w:p>
    <w:p w14:paraId="47A6DDD9">
      <w:pPr>
        <w:keepNext w:val="0"/>
        <w:keepLines w:val="0"/>
        <w:pageBreakBefore w:val="0"/>
        <w:widowControl w:val="0"/>
        <w:suppressLineNumbers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第三节 丰富优质公共文化产品供给。</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做优“市民的美育课”“非遗剪纸课堂”等特色文化品牌，持续开展“送戏下乡”“文艺进社区”“全民阅读”等惠民活动。创新实施“菜单式”“订单式”服务，精准对接群众多元化、高品质文化需求。积极引入高水平演出展览，提升区域文化品位。广泛开展“三江之声”等群众性文化活动，发展互联网条件下新大众文艺。支持群众自办文化，培育基层文艺团队，激发群众文化创造力。实施文艺精品创作工程，支持创作反映东风区特色与时代精神的文艺精品力作。积极参与“中俄文化季”等交流活动，传播好东风区文化标识和城市形象。</w:t>
      </w:r>
    </w:p>
    <w:p w14:paraId="2461454D">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59" w:name="_Toc12502"/>
      <w:r>
        <w:rPr>
          <w:rFonts w:hint="eastAsia" w:ascii="楷体" w:hAnsi="楷体" w:eastAsia="楷体" w:cs="楷体"/>
          <w:color w:val="000000" w:themeColor="text1"/>
          <w:highlight w:val="none"/>
          <w:lang w:val="en-US" w:eastAsia="zh-CN"/>
          <w14:textFill>
            <w14:solidFill>
              <w14:schemeClr w14:val="tx1"/>
            </w14:solidFill>
          </w14:textFill>
          <w:woUserID w:val="2"/>
        </w:rPr>
        <w:t>第四十二章</w:t>
      </w:r>
      <w:r>
        <w:rPr>
          <w:rFonts w:hint="eastAsia" w:ascii="楷体" w:hAnsi="楷体" w:eastAsia="楷体" w:cs="楷体"/>
          <w:color w:val="000000" w:themeColor="text1"/>
          <w:highlight w:val="none"/>
          <w:lang w:eastAsia="zh"/>
          <w14:textFill>
            <w14:solidFill>
              <w14:schemeClr w14:val="tx1"/>
            </w14:solidFill>
          </w14:textFill>
          <w:woUserID w:val="2"/>
        </w:rPr>
        <w:t xml:space="preserve"> </w:t>
      </w:r>
      <w:r>
        <w:rPr>
          <w:rFonts w:hint="eastAsia" w:ascii="楷体" w:hAnsi="楷体" w:eastAsia="楷体" w:cs="楷体"/>
          <w:color w:val="000000" w:themeColor="text1"/>
          <w:highlight w:val="none"/>
          <w:lang w:val="en-US" w:eastAsia="zh-CN"/>
          <w14:textFill>
            <w14:solidFill>
              <w14:schemeClr w14:val="tx1"/>
            </w14:solidFill>
          </w14:textFill>
        </w:rPr>
        <w:t>加快发展文化产业</w:t>
      </w:r>
      <w:bookmarkEnd w:id="59"/>
    </w:p>
    <w:p w14:paraId="760C3126">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坚持社会效益和经济效益相统一，以创新为核心驱动力，优化产业布局，壮大市场主体，推动文化产业成为我区国民经济重要支柱性产业。</w:t>
      </w:r>
    </w:p>
    <w:p w14:paraId="21BD2D10">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第一节 打造特色文旅IP。</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以东珠珍宝博物馆、创意馆为核心载体，联动高校与研发机构，深度开发“东珠文化”，推出高端珠宝鉴赏、文化溯源与定制体验产品。做强红色研学品牌，依托东北抗联雕塑馆，系统收集整理抗联故事与实物资料，完善配套设施与课程体系，打造成为全市核心红色研学基地。推动工业旅游破题，开发沉浸式工业生产场景体验，策划“工业文明研学之旅”，争创省级工业旅游示范基地。</w:t>
      </w:r>
    </w:p>
    <w:p w14:paraId="08850A6C">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 w:bidi="ar"/>
          <w14:textFill>
            <w14:solidFill>
              <w14:schemeClr w14:val="tx1"/>
            </w14:solidFill>
          </w14:textFill>
          <w:woUserID w:val="2"/>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2"/>
        </w:rPr>
        <w:t>第二节 培育多元消费场景。</w:t>
      </w:r>
      <w:r>
        <w:rPr>
          <w:rFonts w:hint="eastAsia" w:ascii="仿宋" w:hAnsi="仿宋" w:eastAsia="仿宋" w:cs="仿宋"/>
          <w:color w:val="000000" w:themeColor="text1"/>
          <w:kern w:val="2"/>
          <w:sz w:val="32"/>
          <w:szCs w:val="32"/>
          <w:highlight w:val="none"/>
          <w:lang w:val="en-US" w:eastAsia="zh" w:bidi="ar"/>
          <w14:textFill>
            <w14:solidFill>
              <w14:schemeClr w14:val="tx1"/>
            </w14:solidFill>
          </w14:textFill>
          <w:woUserID w:val="2"/>
        </w:rPr>
        <w:t>全力攻坚东兴城步行街国家级旅游休闲街区申报与创建工作，对标国家级标准，系统升级街区夜景亮化与景观体系。科学设计灯光布局，突出建筑特色与街区脉络，策划植入以本土非遗元素为主题的数字光影秀、互动灯光装置，营造兼具艺术美感与文化底蕴的夜间景观。优化街区商业业态布局，鼓励发展融合地方特色的“深夜食堂”餐饮集聚区</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w:t>
      </w:r>
      <w:r>
        <w:rPr>
          <w:rFonts w:hint="eastAsia" w:ascii="仿宋" w:hAnsi="仿宋" w:eastAsia="仿宋" w:cs="仿宋"/>
          <w:color w:val="000000" w:themeColor="text1"/>
          <w:kern w:val="2"/>
          <w:sz w:val="32"/>
          <w:szCs w:val="32"/>
          <w:highlight w:val="none"/>
          <w:lang w:val="en-US" w:eastAsia="zh" w:bidi="ar"/>
          <w14:textFill>
            <w14:solidFill>
              <w14:schemeClr w14:val="tx1"/>
            </w14:solidFill>
          </w14:textFill>
          <w:woUserID w:val="2"/>
        </w:rPr>
        <w:t>联动非遗传承人、手工匠人，规划设立夜间开放的非遗手作体验工坊、文创集合店，推动非遗产品从展示走向市场消费，打造“夜食、夜游、夜娱、夜购”于一体的“夜东风”品牌。</w:t>
      </w:r>
    </w:p>
    <w:p w14:paraId="5567EA4F">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lang w:val="en-US" w:eastAsia="zh-CN"/>
          <w14:textFill>
            <w14:solidFill>
              <w14:schemeClr w14:val="tx1"/>
            </w14:solidFill>
          </w14:textFill>
        </w:rPr>
      </w:pPr>
      <w:bookmarkStart w:id="60" w:name="_Toc28696"/>
      <w:r>
        <w:rPr>
          <w:rFonts w:hint="eastAsia" w:ascii="楷体" w:hAnsi="楷体" w:eastAsia="楷体" w:cs="楷体"/>
          <w:color w:val="000000" w:themeColor="text1"/>
          <w:highlight w:val="none"/>
          <w:lang w:val="en-US" w:eastAsia="zh-CN"/>
          <w14:textFill>
            <w14:solidFill>
              <w14:schemeClr w14:val="tx1"/>
            </w14:solidFill>
          </w14:textFill>
          <w:woUserID w:val="2"/>
        </w:rPr>
        <w:t>第四十三章</w:t>
      </w:r>
      <w:r>
        <w:rPr>
          <w:rFonts w:hint="eastAsia" w:ascii="楷体" w:hAnsi="楷体" w:eastAsia="楷体" w:cs="楷体"/>
          <w:color w:val="000000" w:themeColor="text1"/>
          <w:highlight w:val="none"/>
          <w:lang w:eastAsia="zh"/>
          <w14:textFill>
            <w14:solidFill>
              <w14:schemeClr w14:val="tx1"/>
            </w14:solidFill>
          </w14:textFill>
          <w:woUserID w:val="2"/>
        </w:rPr>
        <w:t xml:space="preserve"> </w:t>
      </w:r>
      <w:r>
        <w:rPr>
          <w:rFonts w:hint="eastAsia" w:ascii="楷体" w:hAnsi="楷体" w:eastAsia="楷体" w:cs="楷体"/>
          <w:color w:val="000000" w:themeColor="text1"/>
          <w:highlight w:val="none"/>
          <w:lang w:val="en-US" w:eastAsia="zh-CN"/>
          <w14:textFill>
            <w14:solidFill>
              <w14:schemeClr w14:val="tx1"/>
            </w14:solidFill>
          </w14:textFill>
        </w:rPr>
        <w:t>完善现代旅游业体系</w:t>
      </w:r>
      <w:bookmarkEnd w:id="60"/>
    </w:p>
    <w:p w14:paraId="7F9BD406">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坚持以文塑旅、以旅彰文，深化文旅融合发展，优化产品供给，提升服务品质，做强市场主体，加快构建要素齐全、结构合理、特色鲜明、服务优质的现代旅游业体系。</w:t>
      </w:r>
    </w:p>
    <w:p w14:paraId="080F034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2"/>
        </w:rPr>
      </w:pPr>
      <w:r>
        <w:rPr>
          <w:rFonts w:hint="eastAsia" w:ascii="仿宋" w:hAnsi="仿宋" w:eastAsia="仿宋" w:cs="仿宋"/>
          <w:b/>
          <w:bCs/>
          <w:color w:val="000000" w:themeColor="text1"/>
          <w:highlight w:val="none"/>
          <w:lang w:val="en-US" w:eastAsia="zh-CN"/>
          <w14:textFill>
            <w14:solidFill>
              <w14:schemeClr w14:val="tx1"/>
            </w14:solidFill>
          </w14:textFill>
          <w:woUserID w:val="2"/>
        </w:rPr>
        <w:t xml:space="preserve">第一节 </w:t>
      </w:r>
      <w:r>
        <w:rPr>
          <w:rFonts w:hint="eastAsia" w:ascii="仿宋" w:hAnsi="仿宋" w:eastAsia="仿宋" w:cs="仿宋"/>
          <w:b/>
          <w:bCs/>
          <w:color w:val="000000" w:themeColor="text1"/>
          <w:highlight w:val="none"/>
          <w:lang w:eastAsia="zh"/>
          <w14:textFill>
            <w14:solidFill>
              <w14:schemeClr w14:val="tx1"/>
            </w14:solidFill>
          </w14:textFill>
          <w:woUserID w:val="2"/>
        </w:rPr>
        <w:t>优化全域</w:t>
      </w:r>
      <w:r>
        <w:rPr>
          <w:rFonts w:hint="eastAsia" w:ascii="仿宋" w:hAnsi="仿宋" w:eastAsia="仿宋" w:cs="仿宋"/>
          <w:b/>
          <w:bCs/>
          <w:color w:val="000000" w:themeColor="text1"/>
          <w:highlight w:val="none"/>
          <w:lang w:val="en-US" w:eastAsia="zh-CN"/>
          <w14:textFill>
            <w14:solidFill>
              <w14:schemeClr w14:val="tx1"/>
            </w14:solidFill>
          </w14:textFill>
          <w:woUserID w:val="2"/>
        </w:rPr>
        <w:t>旅游</w:t>
      </w:r>
      <w:r>
        <w:rPr>
          <w:rFonts w:hint="eastAsia" w:ascii="仿宋" w:hAnsi="仿宋" w:eastAsia="仿宋" w:cs="仿宋"/>
          <w:b/>
          <w:bCs/>
          <w:color w:val="000000" w:themeColor="text1"/>
          <w:highlight w:val="none"/>
          <w:lang w:eastAsia="zh"/>
          <w14:textFill>
            <w14:solidFill>
              <w14:schemeClr w14:val="tx1"/>
            </w14:solidFill>
          </w14:textFill>
          <w:woUserID w:val="2"/>
        </w:rPr>
        <w:t>布局。</w:t>
      </w:r>
      <w:r>
        <w:rPr>
          <w:rFonts w:hint="eastAsia" w:ascii="仿宋" w:hAnsi="仿宋" w:eastAsia="仿宋" w:cs="仿宋"/>
          <w:color w:val="000000" w:themeColor="text1"/>
          <w:kern w:val="2"/>
          <w:sz w:val="32"/>
          <w:szCs w:val="32"/>
          <w:highlight w:val="none"/>
          <w:lang w:val="en-US" w:eastAsia="zh" w:bidi="ar"/>
          <w14:textFill>
            <w14:solidFill>
              <w14:schemeClr w14:val="tx1"/>
            </w14:solidFill>
          </w14:textFill>
          <w:woUserID w:val="2"/>
        </w:rPr>
        <w:t>强化区域旅游协同联动，主动融入佳木斯市全域全季旅游发展格局，加强与其他县</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（市）</w:t>
      </w:r>
      <w:r>
        <w:rPr>
          <w:rFonts w:hint="eastAsia" w:ascii="仿宋" w:hAnsi="仿宋" w:eastAsia="仿宋" w:cs="仿宋"/>
          <w:color w:val="000000" w:themeColor="text1"/>
          <w:kern w:val="2"/>
          <w:sz w:val="32"/>
          <w:szCs w:val="32"/>
          <w:highlight w:val="none"/>
          <w:lang w:val="en-US" w:eastAsia="zh" w:bidi="ar"/>
          <w14:textFill>
            <w14:solidFill>
              <w14:schemeClr w14:val="tx1"/>
            </w14:solidFill>
          </w14:textFill>
          <w:woUserID w:val="2"/>
        </w:rPr>
        <w:t>区的线路串联与客源共享，共同推介区域旅游品牌。遵循“春观雁、夏赏花、秋品稻、冬戏雪”脉络，系统构建四季主题文旅活动体系，打造“四季东风”旅游品牌。</w:t>
      </w:r>
      <w:r>
        <w:rPr>
          <w:rFonts w:hint="eastAsia" w:ascii="仿宋" w:hAnsi="仿宋" w:eastAsia="仿宋" w:cs="仿宋"/>
          <w:color w:val="000000" w:themeColor="text1"/>
          <w:highlight w:val="none"/>
          <w:lang w:eastAsia="zh"/>
          <w14:textFill>
            <w14:solidFill>
              <w14:schemeClr w14:val="tx1"/>
            </w14:solidFill>
          </w14:textFill>
          <w:woUserID w:val="2"/>
        </w:rPr>
        <w:t>以东兴城步行街文旅消费核心区为引领，串联整合全区</w:t>
      </w:r>
      <w:r>
        <w:rPr>
          <w:rFonts w:hint="eastAsia" w:ascii="仿宋" w:hAnsi="仿宋" w:eastAsia="仿宋" w:cs="仿宋"/>
          <w:color w:val="000000" w:themeColor="text1"/>
          <w:highlight w:val="none"/>
          <w:lang w:val="en-US" w:eastAsia="zh-CN"/>
          <w14:textFill>
            <w14:solidFill>
              <w14:schemeClr w14:val="tx1"/>
            </w14:solidFill>
          </w14:textFill>
          <w:woUserID w:val="2"/>
        </w:rPr>
        <w:t>自然</w:t>
      </w:r>
      <w:r>
        <w:rPr>
          <w:rFonts w:hint="eastAsia" w:ascii="仿宋" w:hAnsi="仿宋" w:eastAsia="仿宋" w:cs="仿宋"/>
          <w:color w:val="000000" w:themeColor="text1"/>
          <w:highlight w:val="none"/>
          <w:lang w:eastAsia="zh"/>
          <w14:textFill>
            <w14:solidFill>
              <w14:schemeClr w14:val="tx1"/>
            </w14:solidFill>
          </w14:textFill>
          <w:woUserID w:val="2"/>
        </w:rPr>
        <w:t>生态、现代农业、工业遗址、乡村民俗、红色文化等资源。大力发展“旅游+”融合新业态，重点培育发展农业体验游、工业科普游、美丽乡村游、红色研学游、生态避暑游、自驾营地游、青少年研学游、康养游等特色业态。</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2"/>
        </w:rPr>
        <w:t>大力推动研学品牌深化，探索将“五色研学”与抗联文化、城市记忆、非遗珍宝结合，设计“红色洗礼+文化探寻+实践体验”研学线路，争创市级研学精品项目。持续拓展“绿色乡村产业游”，将红力村、西太平村、建设村及建国种业小镇串联成线，开发农耕科普、田园观光等产品。联动国三康养中心及近郊生态资源，开发生态康养、冰雪游乐、农事体验项目，充分依托粮食产能提升重大水利工程“渠首”地标，配套建设旅游项目，丰富旅游产品供给，打造“一日游”“周末游”近郊产品体系。</w:t>
      </w:r>
    </w:p>
    <w:p w14:paraId="7CBF7583">
      <w:pPr>
        <w:pageBreakBefore w:val="0"/>
        <w:widowControl w:val="0"/>
        <w:kinsoku/>
        <w:wordWrap/>
        <w:topLinePunct w:val="0"/>
        <w:autoSpaceDN/>
        <w:bidi w:val="0"/>
        <w:snapToGrid w:val="0"/>
        <w:spacing w:beforeAutospacing="0" w:afterAutospacing="0" w:line="600" w:lineRule="exact"/>
        <w:jc w:val="both"/>
        <w:rPr>
          <w:rFonts w:hint="eastAsia" w:ascii="仿宋_GB2312" w:hAnsi="Times New Roman" w:eastAsia="仿宋_GB2312" w:cs="仿宋_GB2312"/>
          <w:b w:val="0"/>
          <w:color w:val="000000" w:themeColor="text1"/>
          <w:kern w:val="2"/>
          <w:sz w:val="32"/>
          <w:szCs w:val="32"/>
          <w:highlight w:val="none"/>
          <w:lang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第二节 推动</w:t>
      </w:r>
      <w:r>
        <w:rPr>
          <w:rFonts w:hint="eastAsia" w:ascii="仿宋" w:hAnsi="仿宋" w:eastAsia="仿宋" w:cs="仿宋"/>
          <w:b/>
          <w:bCs/>
          <w:color w:val="000000" w:themeColor="text1"/>
          <w:highlight w:val="none"/>
          <w:lang w:val="en-US" w:eastAsia="zh"/>
          <w14:textFill>
            <w14:solidFill>
              <w14:schemeClr w14:val="tx1"/>
            </w14:solidFill>
          </w14:textFill>
        </w:rPr>
        <w:t>文旅产业提质增效</w:t>
      </w:r>
      <w:r>
        <w:rPr>
          <w:rFonts w:hint="eastAsia" w:ascii="仿宋" w:hAnsi="仿宋" w:eastAsia="仿宋" w:cs="仿宋"/>
          <w:b/>
          <w:bCs/>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lang w:val="en-US" w:eastAsia="zh"/>
          <w14:textFill>
            <w14:solidFill>
              <w14:schemeClr w14:val="tx1"/>
            </w14:solidFill>
          </w14:textFill>
        </w:rPr>
        <w:t>积极引入专业化、规模化文旅投资运营主体，通过合资合作、委托管理等方式，提升重点景区、旅游街区市场化运营水平。瞄准行业龙头企业，策划包装一批文旅融合重点项目，积极引进战略投资者参与景区提档升级、产业链延伸和全要素整合开发。统筹布局旅游集散中心、咨询服务点、生态停车场、旅游厕所、标识标牌及自驾车旅居车营地等配套设施，完善旅游风景道、骑行道、步道系统建设，提升主要旅游节点与高速公路、干线公路的连接便利性，构建“快进慢游”交通网络与配套设施。</w:t>
      </w:r>
      <w:r>
        <w:rPr>
          <w:rFonts w:hint="eastAsia" w:ascii="仿宋" w:hAnsi="仿宋" w:eastAsia="仿宋" w:cs="仿宋"/>
          <w:b w:val="0"/>
          <w:color w:val="000000" w:themeColor="text1"/>
          <w:kern w:val="2"/>
          <w:sz w:val="32"/>
          <w:szCs w:val="32"/>
          <w:highlight w:val="none"/>
          <w14:textFill>
            <w14:solidFill>
              <w14:schemeClr w14:val="tx1"/>
            </w14:solidFill>
          </w14:textFill>
        </w:rPr>
        <w:t>提升旅游文化品位与体验深度，支持创作驻场演艺、实景演出、旅游演艺等文化项目，在景区、街区、乡村嵌入小型博物馆、非遗工坊、文化驿站等体验空间，让文化故事可听、可视、可感、可购，丰富旅游内涵。</w:t>
      </w:r>
      <w:r>
        <w:rPr>
          <w:rFonts w:hint="eastAsia" w:ascii="仿宋" w:hAnsi="仿宋" w:eastAsia="仿宋" w:cs="仿宋"/>
          <w:b w:val="0"/>
          <w:bCs w:val="0"/>
          <w:color w:val="000000" w:themeColor="text1"/>
          <w:kern w:val="2"/>
          <w:sz w:val="32"/>
          <w:szCs w:val="32"/>
          <w:highlight w:val="none"/>
          <w14:textFill>
            <w14:solidFill>
              <w14:schemeClr w14:val="tx1"/>
            </w14:solidFill>
          </w14:textFill>
        </w:rPr>
        <w:t>培育壮大本土文旅经营主体</w:t>
      </w:r>
      <w:r>
        <w:rPr>
          <w:rFonts w:hint="eastAsia" w:ascii="仿宋" w:hAnsi="仿宋" w:eastAsia="仿宋" w:cs="仿宋"/>
          <w:b w:val="0"/>
          <w:bCs w:val="0"/>
          <w:color w:val="000000" w:themeColor="text1"/>
          <w:kern w:val="2"/>
          <w:sz w:val="32"/>
          <w:szCs w:val="32"/>
          <w:highlight w:val="none"/>
          <w:lang w:eastAsia="zh-CN"/>
          <w14:textFill>
            <w14:solidFill>
              <w14:schemeClr w14:val="tx1"/>
            </w14:solidFill>
          </w14:textFill>
        </w:rPr>
        <w:t>，</w:t>
      </w:r>
      <w:r>
        <w:rPr>
          <w:rFonts w:hint="eastAsia" w:ascii="仿宋" w:hAnsi="仿宋" w:eastAsia="仿宋" w:cs="仿宋"/>
          <w:b w:val="0"/>
          <w:bCs w:val="0"/>
          <w:color w:val="000000" w:themeColor="text1"/>
          <w:kern w:val="2"/>
          <w:sz w:val="32"/>
          <w:szCs w:val="32"/>
          <w:highlight w:val="none"/>
          <w14:textFill>
            <w14:solidFill>
              <w14:schemeClr w14:val="tx1"/>
            </w14:solidFill>
          </w14:textFill>
        </w:rPr>
        <w:t>支持旅行社、旅游饭店、文化创意企业等提质升级，鼓励小微企业、合作社、个体工商户参与旅游服务。加强对文旅从业人员的专业培训，提升服务技能与职业素养</w:t>
      </w:r>
      <w:r>
        <w:rPr>
          <w:rFonts w:hint="eastAsia" w:ascii="仿宋" w:hAnsi="仿宋" w:eastAsia="仿宋" w:cs="仿宋"/>
          <w:b w:val="0"/>
          <w:bCs w:val="0"/>
          <w:color w:val="000000" w:themeColor="text1"/>
          <w:kern w:val="2"/>
          <w:sz w:val="32"/>
          <w:szCs w:val="32"/>
          <w:highlight w:val="none"/>
          <w:lang w:eastAsia="zh-CN"/>
          <w14:textFill>
            <w14:solidFill>
              <w14:schemeClr w14:val="tx1"/>
            </w14:solidFill>
          </w14:textFill>
        </w:rPr>
        <w:t>。</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4496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4"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0DB6F922">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leftChars="0" w:right="0" w:firstLine="0" w:firstLineChars="0"/>
              <w:jc w:val="cente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2"/>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2"/>
              </w:rPr>
              <w:t>专栏11-1   文旅融合提质工程</w:t>
            </w:r>
          </w:p>
        </w:tc>
      </w:tr>
      <w:tr w14:paraId="7E21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2A1EC3E4">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b w:val="0"/>
                <w:bCs w:val="0"/>
                <w:color w:val="000000" w:themeColor="text1"/>
                <w:kern w:val="2"/>
                <w:sz w:val="24"/>
                <w:szCs w:val="24"/>
                <w:highlight w:val="none"/>
                <w14:textFill>
                  <w14:solidFill>
                    <w14:schemeClr w14:val="tx1"/>
                  </w14:solidFill>
                </w14:textFill>
                <w:woUserID w:val="2"/>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2"/>
              </w:rPr>
              <w:t>1.文化旅游。</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2"/>
              </w:rPr>
              <w:t>深入挖掘本地农耕文明、生态资源和地域文化特色，推动文化与旅游深度融合。丰富城市近郊旅游供给，打造集科普教育、农事体验、休闲观光于一体的农耕文化主题公园和田园综合体，构建多元化、体验式的文化旅游新格局。重点实施黑龙江省佳木斯市东风区农耕文化公园项目、田园综合体建设项目</w:t>
            </w:r>
            <w:r>
              <w:rPr>
                <w:rFonts w:hint="default" w:ascii="Times New Roman" w:hAnsi="Times New Roman" w:cs="Times New Roman"/>
                <w:b w:val="0"/>
                <w:bCs w:val="0"/>
                <w:color w:val="000000" w:themeColor="text1"/>
                <w:kern w:val="2"/>
                <w:sz w:val="24"/>
                <w:szCs w:val="24"/>
                <w:highlight w:val="none"/>
                <w:lang w:val="en-US" w:eastAsia="zh" w:bidi="ar"/>
                <w14:textFill>
                  <w14:solidFill>
                    <w14:schemeClr w14:val="tx1"/>
                  </w14:solidFill>
                </w14:textFill>
                <w:woUserID w:val="2"/>
              </w:rPr>
              <w:t>、东风区文旅研学综合体建设项目、东兴城商业街夜间经济改造项目</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2"/>
              </w:rPr>
              <w:t>。充分依托粮食产能提升重大水利工程“渠首”地标，配套建设旅游项目，丰富旅游产品供给</w:t>
            </w:r>
            <w:r>
              <w:rPr>
                <w:rFonts w:hint="eastAsia" w:cs="Times New Roman"/>
                <w:b w:val="0"/>
                <w:bCs w:val="0"/>
                <w:color w:val="000000" w:themeColor="text1"/>
                <w:kern w:val="2"/>
                <w:sz w:val="24"/>
                <w:szCs w:val="24"/>
                <w:highlight w:val="none"/>
                <w:lang w:val="en-US" w:eastAsia="zh-CN" w:bidi="ar"/>
                <w14:textFill>
                  <w14:solidFill>
                    <w14:schemeClr w14:val="tx1"/>
                  </w14:solidFill>
                </w14:textFill>
                <w:woUserID w:val="2"/>
              </w:rPr>
              <w:t>。</w:t>
            </w:r>
          </w:p>
          <w:p w14:paraId="3628802B">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b w:val="0"/>
                <w:bCs w:val="0"/>
                <w:color w:val="000000" w:themeColor="text1"/>
                <w:kern w:val="2"/>
                <w:sz w:val="24"/>
                <w:szCs w:val="24"/>
                <w:highlight w:val="none"/>
                <w14:textFill>
                  <w14:solidFill>
                    <w14:schemeClr w14:val="tx1"/>
                  </w14:solidFill>
                </w14:textFill>
                <w:woUserID w:val="2"/>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2"/>
              </w:rPr>
              <w:t>2.康养休闲。</w:t>
            </w:r>
            <w:r>
              <w:rPr>
                <w:rFonts w:hint="default" w:ascii="Times New Roman" w:hAnsi="Times New Roman" w:eastAsia="仿宋_GB2312" w:cs="Times New Roman"/>
                <w:b w:val="0"/>
                <w:bCs w:val="0"/>
                <w:color w:val="000000" w:themeColor="text1"/>
                <w:kern w:val="2"/>
                <w:sz w:val="24"/>
                <w:szCs w:val="24"/>
                <w:highlight w:val="none"/>
                <w:lang w:val="en-US" w:eastAsia="zh-CN" w:bidi="ar"/>
                <w14:textFill>
                  <w14:solidFill>
                    <w14:schemeClr w14:val="tx1"/>
                  </w14:solidFill>
                </w14:textFill>
                <w:woUserID w:val="2"/>
              </w:rPr>
              <w:t>依托良好的生态环境和乡村基底，大力发展以生态观光、体育休闲、健康养生为核心的康养旅游产业。通过建设草坪休闲主题基地、水培花卉体验园等项目，打造集慢行系统、生态农业、户外运动于一体的复合型休闲空间，满足城乡居民日益增长的健康生活与亲近自然需求，推动乡村旅游向高品质、特色化方向发展。重点实施草坪休闲旅游主题基地项目、佳木斯市东风区水培花卉栽培体验园建设项目、东风区露营及冰雪营地建设项目、东风区航天科技体验馆项目。</w:t>
            </w:r>
          </w:p>
        </w:tc>
      </w:tr>
    </w:tbl>
    <w:p w14:paraId="14B17706">
      <w:pPr>
        <w:pStyle w:val="2"/>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14:textFill>
            <w14:solidFill>
              <w14:schemeClr w14:val="tx1"/>
            </w14:solidFill>
          </w14:textFill>
        </w:rPr>
      </w:pPr>
      <w:bookmarkStart w:id="61" w:name="_Toc13923"/>
      <w:r>
        <w:rPr>
          <w:rFonts w:hint="default" w:ascii="Times New Roman" w:hAnsi="Times New Roman" w:cs="Times New Roman"/>
          <w:color w:val="000000" w:themeColor="text1"/>
          <w:highlight w:val="none"/>
          <w:lang w:eastAsia="zh"/>
          <w14:textFill>
            <w14:solidFill>
              <w14:schemeClr w14:val="tx1"/>
            </w14:solidFill>
          </w14:textFill>
        </w:rPr>
        <w:t>第</w:t>
      </w:r>
      <w:r>
        <w:rPr>
          <w:rFonts w:hint="default" w:ascii="Times New Roman" w:hAnsi="Times New Roman" w:cs="Times New Roman"/>
          <w:color w:val="000000" w:themeColor="text1"/>
          <w:highlight w:val="none"/>
          <w14:textFill>
            <w14:solidFill>
              <w14:schemeClr w14:val="tx1"/>
            </w14:solidFill>
          </w14:textFill>
        </w:rPr>
        <w:t>十</w:t>
      </w:r>
      <w:r>
        <w:rPr>
          <w:rFonts w:hint="default" w:ascii="Times New Roman" w:hAnsi="Times New Roman" w:cs="Times New Roman"/>
          <w:color w:val="000000" w:themeColor="text1"/>
          <w:highlight w:val="none"/>
          <w:lang w:val="en-US" w:eastAsia="zh-CN"/>
          <w14:textFill>
            <w14:solidFill>
              <w14:schemeClr w14:val="tx1"/>
            </w14:solidFill>
          </w14:textFill>
        </w:rPr>
        <w:t>二</w:t>
      </w:r>
      <w:r>
        <w:rPr>
          <w:rFonts w:hint="eastAsia" w:cs="Times New Roman"/>
          <w:color w:val="000000" w:themeColor="text1"/>
          <w:highlight w:val="none"/>
          <w:lang w:val="en-US" w:eastAsia="zh-CN"/>
          <w14:textFill>
            <w14:solidFill>
              <w14:schemeClr w14:val="tx1"/>
            </w14:solidFill>
          </w14:textFill>
        </w:rPr>
        <w:t>篇</w:t>
      </w:r>
      <w:r>
        <w:rPr>
          <w:rFonts w:hint="default" w:ascii="Times New Roman" w:hAnsi="Times New Roman" w:cs="Times New Roman"/>
          <w:color w:val="000000" w:themeColor="text1"/>
          <w:highlight w:val="none"/>
          <w:lang w:eastAsia="zh"/>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加大保障和改善民生力度，不断满足人民群众对美好生活的向往</w:t>
      </w:r>
      <w:bookmarkEnd w:id="61"/>
    </w:p>
    <w:p w14:paraId="627BA59A">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坚持尽力而为、量力而行，加强普惠性、基础性、兜底性民生建设，解决好人民群众急难愁盼问题，提高人民生活品质，扎实推进共同富裕。</w:t>
      </w:r>
    </w:p>
    <w:p w14:paraId="46F7C55C">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pPr>
      <w:bookmarkStart w:id="62" w:name="_Toc17344"/>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第四十四章</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1"/>
        </w:rPr>
        <w:t xml:space="preserve"> </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促进高质量充分就业</w:t>
      </w:r>
      <w:bookmarkEnd w:id="62"/>
    </w:p>
    <w:p w14:paraId="1E65E6EE">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深入实施就业优先战略，强化经济发展就业导向，健全就业促进机制，统筹做好重点群体就业工作，推动实现更加充分、更高质量的就业，确保就业局势总体稳定。</w:t>
      </w:r>
    </w:p>
    <w:p w14:paraId="7113ABF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拓宽就业渠道</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加强产业和就业协同，支持吸纳就业能力强、潜力大的现代服务业、劳动密集型企业及小微企业发展，稳定和扩大就业基本盘。支持灵活就业、共享用工等多元化就业模式，积极培育新职业新岗位，紧跟数字经济、绿色经济、银发经济发展趋势，挖掘在电商直播、即时配送、智慧养老、数据分析等领域的新兴就业机会。</w:t>
      </w:r>
    </w:p>
    <w:p w14:paraId="54F32EE2">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破解结构性就业矛盾</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推动产教融合集聚发展，紧抓佳木斯职业学院迁入东风区建设契机，积极与学院建立沟通协作机制，联合开展“订单式”培养等合作路径，为职业学院服务区域发展创造有利条件，为企业输送急需的高素质技术技能人才。</w:t>
      </w:r>
    </w:p>
    <w:p w14:paraId="005FEBB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促进重点群体就业。</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深入实施高校毕业生就业创业促进计划，吸引激励高校毕业生留佳来佳就业创业。鼓励退役军人参加技能培训与学历提升。面向高校毕业生、退役军人、农民工、城镇困难人员等重点群体，大规模组织开展专场招聘会、政策解读讲座等精准就业服务活动，提升就业成功率。</w:t>
      </w:r>
    </w:p>
    <w:p w14:paraId="195FE28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第四节 优化人才环境</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坚持向选好用好各方面人才要发展，聚焦重点产业和关键领域，精准落实上级人才政策。推进人才队伍高质量发展，配合推进人才评价机制改革，做好职称制度的宣传、申报与推荐工作。完善人才安居、子女教育、医疗保障等配套服务，打造区域创新高地和人才高地，形成“引育留用”良性循环。</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t>健全公共就业服务体系，加快“家门口”就业服务站建设，力争实现社区全覆盖。</w:t>
      </w:r>
    </w:p>
    <w:p w14:paraId="29DD3244">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pPr>
      <w:bookmarkStart w:id="63" w:name="_Toc30108"/>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第四十五章</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1"/>
        </w:rPr>
        <w:t xml:space="preserve"> </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提升居民收入水平</w:t>
      </w:r>
      <w:bookmarkEnd w:id="63"/>
    </w:p>
    <w:p w14:paraId="0AAD7EB6">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坚持按劳分配为主体、多种分配方式并存，在高质量发展中促进共同富裕，着力构建初次分配、再分配协调配套的基础性制度安排，持续扩大中等收入群体比重，努力使居民收入增长与经济增长基本同步。</w:t>
      </w:r>
    </w:p>
    <w:p w14:paraId="5011C21E">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第一节 严格落实收入分配制度改革</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val="0"/>
          <w:bCs w:val="0"/>
          <w:color w:val="000000" w:themeColor="text1"/>
          <w:highlight w:val="none"/>
          <w:lang w:val="en-US" w:eastAsia="zh-CN"/>
          <w14:textFill>
            <w14:solidFill>
              <w14:schemeClr w14:val="tx1"/>
            </w14:solidFill>
          </w14:textFill>
        </w:rPr>
        <w:t>贯彻执行劳动者工资决定、合理增长、支付保障机制</w:t>
      </w:r>
      <w:r>
        <w:rPr>
          <w:rFonts w:hint="eastAsia" w:ascii="仿宋" w:hAnsi="仿宋" w:eastAsia="仿宋" w:cs="仿宋"/>
          <w:b w:val="0"/>
          <w:bCs w:val="0"/>
          <w:color w:val="000000" w:themeColor="text1"/>
          <w:highlight w:val="none"/>
          <w14:textFill>
            <w14:solidFill>
              <w14:schemeClr w14:val="tx1"/>
            </w14:solidFill>
          </w14:textFill>
        </w:rPr>
        <w:t>，</w:t>
      </w:r>
      <w:r>
        <w:rPr>
          <w:rFonts w:hint="eastAsia" w:ascii="仿宋" w:hAnsi="仿宋" w:eastAsia="仿宋" w:cs="仿宋"/>
          <w:b w:val="0"/>
          <w:bCs w:val="0"/>
          <w:color w:val="000000" w:themeColor="text1"/>
          <w:highlight w:val="none"/>
          <w:lang w:val="en-US" w:eastAsia="zh-CN"/>
          <w14:textFill>
            <w14:solidFill>
              <w14:schemeClr w14:val="tx1"/>
            </w14:solidFill>
          </w14:textFill>
        </w:rPr>
        <w:t>引导劳动报酬在初次分配中的比重逐步提升，严格规范符合事业单位特点的工资分配制度。严格执行国有企业各级负责人薪酬补贴管理规定，推动收入分配秩序更加规范。</w:t>
      </w:r>
      <w:r>
        <w:rPr>
          <w:rFonts w:hint="eastAsia" w:ascii="仿宋" w:hAnsi="仿宋" w:eastAsia="仿宋" w:cs="仿宋"/>
          <w:color w:val="000000" w:themeColor="text1"/>
          <w:highlight w:val="none"/>
          <w14:textFill>
            <w14:solidFill>
              <w14:schemeClr w14:val="tx1"/>
            </w14:solidFill>
          </w14:textFill>
        </w:rPr>
        <w:t>严格落实最低工资标准制度，切实保障劳动者按时足额获得劳动报酬。</w:t>
      </w:r>
    </w:p>
    <w:p w14:paraId="399D062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14:textFill>
            <w14:solidFill>
              <w14:schemeClr w14:val="tx1"/>
            </w14:solidFill>
          </w14:textFill>
        </w:rPr>
        <w:t>完善再分配调节体系</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全面落实国家关于个人所得税、财产税等税收调节政策，健全覆盖全民、统筹城乡、公平统一、可持续的多层次社会保障体系，完善财政转移支付制度，有效发挥再分配对促进社会公平、缩小收入差距的关键性调节作用。大力培育和规范发展公益慈善事业，积极营造“人人向善、扶危济困”的社会氛围。坚持鼓励勤劳创新合法致富，引导先富群体积极履行社会责任，通过产业联动、就业带动、公益帮扶等多种途径，促进形成“先富带后富、帮后富”的良好局面。</w:t>
      </w:r>
    </w:p>
    <w:p w14:paraId="3515E0B7">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eastAsia="zh"/>
          <w14:textFill>
            <w14:solidFill>
              <w14:schemeClr w14:val="tx1"/>
            </w14:solidFill>
          </w14:textFill>
          <w:woUserID w:val="1"/>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第三节 </w:t>
      </w:r>
      <w:r>
        <w:rPr>
          <w:rFonts w:hint="eastAsia" w:ascii="仿宋" w:hAnsi="仿宋" w:eastAsia="仿宋" w:cs="仿宋"/>
          <w:b/>
          <w:bCs/>
          <w:color w:val="000000" w:themeColor="text1"/>
          <w:highlight w:val="none"/>
          <w14:textFill>
            <w14:solidFill>
              <w14:schemeClr w14:val="tx1"/>
            </w14:solidFill>
          </w14:textFill>
        </w:rPr>
        <w:t>实施居民增收行动计划</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健全要素市场化收益实现机制，探索土地、技术、资本、数据等各类要素的确权登记、价值评估、市场化流转和收益分配标准。完善差异化金融服务供给体系，引导金融机构结合城乡居民收入结构与风险偏好特征，开发涵盖稳健型理财、长期养老储蓄等领域的多层次金融产品，提升农村居民、老年群体等对象的金融素养和资产配置能力。拓展规范化多元投资渠道，支持符合条件的企业依法实施员工持股与股权激励计划。建立长效化增收保障与促进机制，常态化开展面向城乡社区的金融知识普及与投资风险教育活动，引导居民通过投资理财、股市债市等渠道增加财产性收入。建立健全投资者权益保护制度与多元化纠纷解决机制，完善财产性收入统计监测与政策效果评估体系，形成科学、可持续的财产性收入增长促进机制。</w:t>
      </w:r>
    </w:p>
    <w:p w14:paraId="63BCA1ED">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pPr>
      <w:bookmarkStart w:id="64" w:name="_Toc8734"/>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第四十六章</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1"/>
        </w:rPr>
        <w:t xml:space="preserve"> </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办好人民满意的教育</w:t>
      </w:r>
      <w:bookmarkEnd w:id="64"/>
    </w:p>
    <w:p w14:paraId="0D353BF3">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全面贯彻党的教育方针，落实立德树人根本任务，坚持教育优先发展，深化教育领域综合改革，加快建设高质量教育体系，努力培养德智体美劳全面发展的社会主义建设者和接班人。</w:t>
      </w:r>
    </w:p>
    <w:p w14:paraId="7D6DD0F1">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构建普惠优质学前教育</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建立健全幼儿园规范管理、质量提升、督导评估机制，树立科学保教理念，着力提升各类型幼儿园办园质量。着力扩大优质普惠资源供给，重点在人口密集区域和新建居民区配套建设公办幼儿园，鼓励和支持普惠性民办幼儿园发展，切实保障“幼有所育”。满足多元化、高层次教育需求，积极吸引高端化、国际化托幼机构在东风区布局，探索托幼一体化服务，构建以普惠为主体、多元为补充的学前教育服务网络。</w:t>
      </w:r>
    </w:p>
    <w:p w14:paraId="11FBF707">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推动基础教育整体提升</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优化教育资源布局与供给，积极谋划和储备九年一贯制学校等新建、改扩建项目，推动义务教育阶段学校在办学条件、师资水平、管理水平上的优质均衡发展。实施义务教育学校品质提升工程，深化课堂教学改革，加强校园文化建设，推动教育数字化转型，全面提升义务教育育人质量。鼓励学校在科技、人文、艺术、体育等领域形成办学特色，打造市东部地区现代教育中心。提升职业学校办学能力，推进职业教育与产业升级深度融合。</w:t>
      </w:r>
    </w:p>
    <w:p w14:paraId="40C19F0A">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夯基础强化教育保障力。</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全面提升教育基础设施水平，加快完善区域内中小学食堂、体育馆、图书馆等配套服务设施，重点提升初中阶段物理、化学、生物等学科实验室的装备水平，推进智慧校园建设，创设安全、绿色、现代化的育人环境。加强新时代教师队伍建设，健全教师引进、培养、培训和激励机制，促进师资均衡配置，着力打造一支师德高尚、业务精湛、结构合理、充满活力的高素质专业化教师队伍。</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4885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4"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45A922EC">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leftChars="0" w:right="0" w:firstLine="0" w:firstLineChars="0"/>
              <w:jc w:val="center"/>
              <w:rPr>
                <w:rFonts w:hint="default" w:ascii="Times New Roman" w:hAnsi="Times New Roman" w:eastAsia="仿宋_GB2312" w:cs="Times New Roman"/>
                <w:color w:val="000000" w:themeColor="text1"/>
                <w:kern w:val="2"/>
                <w:sz w:val="32"/>
                <w:szCs w:val="32"/>
                <w:highlight w:val="none"/>
                <w14:textFill>
                  <w14:solidFill>
                    <w14:schemeClr w14:val="tx1"/>
                  </w14:solidFill>
                </w14:textFill>
                <w:woUserID w:val="1"/>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1"/>
              </w:rPr>
              <w:t>专栏12-1   全区教育现代化建设重点工程</w:t>
            </w:r>
          </w:p>
        </w:tc>
      </w:tr>
      <w:tr w14:paraId="1114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5AC9035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1. 基础教育扩优提质工程</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建立学龄人口变化监测预警制度，优化中小学、幼儿园布局。推进义务教育优质均衡发展和城乡一体化，探索逐步扩大免费教育范围，统筹学前教育优质普惠发展。重点实施新东风区实验幼儿园建设项目、第十七小学改造提升项目、东风区建国镇中心校劳动实践基地项目。加快推进佳木斯职业学院学生生活区、实训基地、培训中心、教学楼等项目建设</w:t>
            </w:r>
            <w:r>
              <w:rPr>
                <w:rFonts w:hint="eastAsia" w:cs="Times New Roman"/>
                <w:color w:val="000000" w:themeColor="text1"/>
                <w:kern w:val="2"/>
                <w:sz w:val="24"/>
                <w:szCs w:val="24"/>
                <w:highlight w:val="none"/>
                <w:lang w:val="en-US" w:eastAsia="zh-CN" w:bidi="ar"/>
                <w14:textFill>
                  <w14:solidFill>
                    <w14:schemeClr w14:val="tx1"/>
                  </w14:solidFill>
                </w14:textFill>
                <w:woUserID w:val="1"/>
              </w:rPr>
              <w:t>。</w:t>
            </w:r>
          </w:p>
          <w:p w14:paraId="7DA1EEF8">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2. 教师教育能力提升工程。</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强化教师培养的科学能力、实践能力训练，完善教师队伍领军人才培养体系，提升教师队伍整体素质。</w:t>
            </w:r>
          </w:p>
          <w:p w14:paraId="4E46FBD6">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3. 教育数字化转型工程。</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建强用好国家智慧教育公共服务平台和国家教育大数据中心，推进智慧校园建设。开发新型数字教育资源，打造人工智能教育，制定师生数字素养标准，探索数字赋能的因材施教模式。重点实施区属学校科创教室建设项目、区属学校多功能冰场建设及配套设施项目等。</w:t>
            </w:r>
          </w:p>
          <w:p w14:paraId="1AD0AEF4">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4. 终身学习体系构建工程。</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落实产教融合要求，积极推进社区学院工作开展落实。建设学习型城市与社区，满足社会各类群体的终身学习需求。</w:t>
            </w:r>
          </w:p>
          <w:p w14:paraId="3E29C95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1"/>
                <w:szCs w:val="21"/>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5.立德树人推进工程。</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推动思政课程与课程思政同向发力，将红色资源融入教学强化青少年理想信念教育。加强体育、美育和劳动教育，深化中考、高考综合改革，破解“五唯”痼疾，完善引导学生全面发展的教育评价体系。</w:t>
            </w:r>
          </w:p>
        </w:tc>
      </w:tr>
    </w:tbl>
    <w:p w14:paraId="7ECF5DC6">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pPr>
      <w:bookmarkStart w:id="65" w:name="_Toc9861"/>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第四十七章</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1"/>
        </w:rPr>
        <w:t xml:space="preserve"> </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健全社会保障体系</w:t>
      </w:r>
      <w:bookmarkEnd w:id="65"/>
    </w:p>
    <w:p w14:paraId="7D24028C">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坚持全覆盖、保基本、多层次、可持续的方针，以增强公平性、适应流动性、保证可持续性为重点，全面深化社会保障制度改革，加快构建覆盖全民、统筹城乡、公平统一、安全规范、可持续的多层次社会保障体系。</w:t>
      </w:r>
    </w:p>
    <w:p w14:paraId="1F670C8E">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完善社会保险体系</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按照国家、省、市统一部署，实施全民参保计划，扩大灵活就业者、新业态从业者等未参保人群参保覆盖面。深化城镇职工基本养老保险制度改革，落实企业职工基本养老保险全国统筹制度，逐步提高城乡居民基础养老金，加快发展多层次、多支柱养老保险体系，确保各项社会保险待遇及时足额发放。健全多层次医疗保障体系，推进基本医疗保险省级统筹，落实药品集采、医保支付和结余资金使用政策。深化政企合作，适配相关医保政策，推动大病保险持续发展，积极构建“基本医保+大病保险+补充医疗保险”的三重防护网，完善长期护理保险制度，构建科学高效的长期护理保险运行机制，为重度失能人员提供专业照护和医疗服务。建立健全职业伤害保障制度，完善应急救助保险制度，推动高危领域安全生产责任险强制落地，提升化工及非煤矿山等高风险行业、企业工伤保险参保率，建立健全职业伤害保障制度。联动推广房屋综合保险，扩大失业保险覆盖面，针对新业态从业者定制专属意外险、健康险等保障体系，强化创业就业风险保障。落实社保关系转移接续政策，取消在就业地参保户籍限制，提高灵活就业人员、农民工、新就业形态人员参保率。发挥各类商业保险补充保障作用，加强与基本社会保障制度衔接。</w:t>
      </w:r>
    </w:p>
    <w:p w14:paraId="689AEE4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补齐社会服务短板。</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健全分层分类的社会救助体系，加强低收入人口动态监测和常态化救助帮扶。深化社会救助领域“高效办成一件事”改革，兜住兜准兜牢民生底线。健全以最低生活保障、特困人员供养为基础，医疗、疾病应急、教育、住房、就业为支撑，社会力量参与为补充的托底线、救急难的社会救助体系，</w:t>
      </w:r>
      <w:r>
        <w:rPr>
          <w:rFonts w:hint="eastAsia" w:ascii="仿宋" w:hAnsi="仿宋" w:eastAsia="仿宋" w:cs="仿宋"/>
          <w:color w:val="000000" w:themeColor="text1"/>
          <w:sz w:val="32"/>
          <w:szCs w:val="32"/>
          <w:highlight w:val="none"/>
          <w:u w:val="none"/>
          <w14:textFill>
            <w14:solidFill>
              <w14:schemeClr w14:val="tx1"/>
            </w14:solidFill>
          </w14:textFill>
        </w:rPr>
        <w:t>构建“专业机构＋精准服务”</w:t>
      </w:r>
      <w:r>
        <w:rPr>
          <w:rFonts w:hint="eastAsia" w:ascii="仿宋" w:hAnsi="仿宋" w:eastAsia="仿宋" w:cs="仿宋"/>
          <w:color w:val="000000" w:themeColor="text1"/>
          <w:sz w:val="32"/>
          <w:szCs w:val="32"/>
          <w:highlight w:val="none"/>
          <w:u w:val="none"/>
          <w:lang w:eastAsia="zh-CN"/>
          <w14:textFill>
            <w14:solidFill>
              <w14:schemeClr w14:val="tx1"/>
            </w14:solidFill>
          </w14:textFill>
        </w:rPr>
        <w:t>模式，</w:t>
      </w:r>
      <w:r>
        <w:rPr>
          <w:rFonts w:hint="eastAsia" w:ascii="仿宋" w:hAnsi="仿宋" w:eastAsia="仿宋" w:cs="仿宋"/>
          <w:color w:val="000000" w:themeColor="text1"/>
          <w:sz w:val="32"/>
          <w:szCs w:val="32"/>
          <w:highlight w:val="none"/>
          <w:u w:val="none"/>
          <w14:textFill>
            <w14:solidFill>
              <w14:schemeClr w14:val="tx1"/>
            </w14:solidFill>
          </w14:textFill>
        </w:rPr>
        <w:t>以上门服务为主要形式，重点开展“七助”服务，推动社会救助从“保基本”向“提品质”转型</w:t>
      </w:r>
      <w:r>
        <w:rPr>
          <w:rFonts w:hint="eastAsia" w:ascii="仿宋" w:hAnsi="仿宋" w:eastAsia="仿宋" w:cs="仿宋"/>
          <w:color w:val="000000" w:themeColor="text1"/>
          <w:kern w:val="2"/>
          <w:sz w:val="32"/>
          <w:szCs w:val="32"/>
          <w:highlight w:val="none"/>
          <w:u w:val="none"/>
          <w:lang w:val="en-US" w:eastAsia="zh-CN" w:bidi="ar"/>
          <w14:textFill>
            <w14:solidFill>
              <w14:schemeClr w14:val="tx1"/>
            </w14:solidFill>
          </w14:textFill>
        </w:rPr>
        <w:t>。</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完善残疾人补贴动态调整机制，加强残疾人社会救助保障，扩大残疾人托养、康复等服务的供给，着力推进残疾人就业创业，丰富残疾人文化体育活动。加强精神病人、特殊儿童、留守儿童、留守老人等群体的关爱保护和困难帮扶。坚持男女平等基本国策，保障妇女儿童合法权益。加强退役军人服务保障，提高退役军人安置就业、优抚褒扬、权益维护、服务保障等各项工作质量，完善社保、医保关系转移接续政策。</w:t>
      </w:r>
    </w:p>
    <w:p w14:paraId="78F83C44">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pPr>
      <w:bookmarkStart w:id="66" w:name="_Toc19193"/>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第四十八章</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1"/>
        </w:rPr>
        <w:t xml:space="preserve"> </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推进健康东风区建设</w:t>
      </w:r>
      <w:bookmarkEnd w:id="66"/>
    </w:p>
    <w:p w14:paraId="64852882">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牢固树立大卫生、大健康理念，坚持预防为主、医防融合，深化医药卫生体制改革，持续提升医疗卫生服务能力，深入开展健康促进行动，为辖区居民提供更优质、更公平、更可及的健康服务。</w:t>
      </w:r>
    </w:p>
    <w:p w14:paraId="549909E9">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14:textFill>
            <w14:solidFill>
              <w14:schemeClr w14:val="tx1"/>
            </w14:solidFill>
          </w14:textFill>
        </w:rPr>
        <w:t>强化公共卫生体系</w:t>
      </w:r>
      <w:r>
        <w:rPr>
          <w:rFonts w:hint="eastAsia" w:ascii="仿宋" w:hAnsi="仿宋" w:eastAsia="仿宋" w:cs="仿宋"/>
          <w:color w:val="000000" w:themeColor="text1"/>
          <w:highlight w:val="none"/>
          <w14:textFill>
            <w14:solidFill>
              <w14:schemeClr w14:val="tx1"/>
            </w14:solidFill>
          </w14:textFill>
        </w:rPr>
        <w:t>。坚持将保障人民健康放在优先发展的战略位置，实施公共卫生体系强化工程。健全以区疾控中心为骨干、基层医疗卫生机构为网底、各级医疗机构为依托的现代化疾病预防控制体系，提升传染病疫情监测预警、风险评估、流行病学调查和应急处置能力。加强重大传染病、慢性病、地方病的综合防控，注重预防为主和医防协同，推动防治结合、关口前移。持续深入开展爱国卫生运动，改善城乡人居环境，广泛普及健康知识，全面提升居民健康素养。</w:t>
      </w:r>
    </w:p>
    <w:p w14:paraId="5D85F9F7">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促进优质医疗资源提质扩容。</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围绕区域医疗中心建设目标，谋划实施人民医院能力提升、民办医院优质发展等项目，实现乡镇卫生院、社区卫生服务中心标准化建设，引进培育高层次医疗人才团队。以公益性为导向深化公立医院综合改革，健全现代医院管理制度和运行保障机制。运用人工智能、大数据等数字技术优化医疗服务流程，推进远程医疗、智慧医院建设，在微创手术、精准医疗、康复医学等领域实现突破。提升急诊急救网络效能和突发事件紧急医学救援能力，加强医疗卫生人才队伍建设与医德医风培育。深化中医药传承创新发展，加强人民医院中医特色专科建设，推广中医治未病服务，推动中医药全面融入基本公共卫生服务、医养结合和社区健康管理，打造具有东风区特色的中医药品牌，积极创建省级健康县（区）。</w:t>
      </w:r>
    </w:p>
    <w:p w14:paraId="763CA491">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开展全民健康行动。</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统筹群众体育、竞技体育、青少年体育、体育产业和体育文化发展，均衡发展各种体育事业，实现群众运动空间扩容。全面开展全民健身行动，扩大体育运动参与范围，布局一批户外运动设施，打造户外运动高地。推动青少年竞赛和学校体系有机融合，持续发展竞技体育。增加体育场地设施供给，推动体育设施向社会开放，实现全民健身设施城乡全覆盖，打造百姓身边的“十五分钟健身圈”。积极拓展“体育+”融合业态，深化体育与文化、旅游、商务、康养、教育等领域联动，加快构建业态融合互促的体育消费新业态。提倡大力合理膳食、科学运动、戒烟限酒、心理平衡等生活方式，实施特殊人群的体质健康干预计划，开展职业健康保护行动，健全老年健康服务体系。</w:t>
      </w:r>
    </w:p>
    <w:p w14:paraId="40B5A167">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pPr>
      <w:bookmarkStart w:id="67" w:name="_Toc6740"/>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第四十九章</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1"/>
        </w:rPr>
        <w:t xml:space="preserve"> </w:t>
      </w:r>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促进人口高质量发展</w:t>
      </w:r>
      <w:bookmarkEnd w:id="67"/>
    </w:p>
    <w:p w14:paraId="70B8F58E">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立足区域发展长远需要，以人的全面发展为中心，统筹人口与经济社会发展，优化人口结构，提升人口素质，保持人口规模适度，积极应对人口变化挑战，塑造人口发展新优势。</w:t>
      </w:r>
    </w:p>
    <w:p w14:paraId="4A091DBB">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14:textFill>
            <w14:solidFill>
              <w14:schemeClr w14:val="tx1"/>
            </w14:solidFill>
          </w14:textFill>
        </w:rPr>
        <w:t>建设生育友好型社会</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优化生育支持政策和激励措施，构建涵盖子女生育、养育、教育等多环节的补贴制度。实施提升生育率专项行动，发挥育儿补贴和个人所得税抵扣政策作用，落实生育保险和生育休假制度，发展普惠托育和托幼一体化服务，有效降低家庭的生育养育教育成本。完善计划生育特殊家庭和伤病残家庭扶助政策，妥善解决生活照料、养老保障、大病医疗、精神慰藉等问题</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全面落实计划生育特殊家庭权益保障，落实全方位照护和联系人制度</w:t>
      </w:r>
      <w:r>
        <w:rPr>
          <w:rFonts w:hint="eastAsia" w:ascii="仿宋" w:hAnsi="仿宋" w:eastAsia="仿宋" w:cs="仿宋"/>
          <w:color w:val="000000" w:themeColor="text1"/>
          <w:highlight w:val="none"/>
          <w14:textFill>
            <w14:solidFill>
              <w14:schemeClr w14:val="tx1"/>
            </w14:solidFill>
          </w14:textFill>
        </w:rPr>
        <w:t>。完善出生人口性别比综合治理政策，倡导积极婚育观，促进人口性别比例均衡，提高全社会的优生科学知识水平和优生意识，实施优生促进工程、推广孕前优生健康检查项目，推广基因疾病检测筛查。加强妇女儿童健康服务，构建覆盖婚前、孕前、孕期、产后和儿童各阶段的健康服务链。</w:t>
      </w:r>
    </w:p>
    <w:p w14:paraId="1A222192">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b w:val="0"/>
          <w:bCs w:val="0"/>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第二节 积极应对人口老龄化。</w:t>
      </w:r>
      <w:r>
        <w:rPr>
          <w:rFonts w:hint="eastAsia" w:ascii="仿宋" w:hAnsi="仿宋" w:eastAsia="仿宋" w:cs="仿宋"/>
          <w:b w:val="0"/>
          <w:bCs w:val="0"/>
          <w:color w:val="000000" w:themeColor="text1"/>
          <w:highlight w:val="none"/>
          <w:lang w:val="en-US" w:eastAsia="zh-CN"/>
          <w14:textFill>
            <w14:solidFill>
              <w14:schemeClr w14:val="tx1"/>
            </w14:solidFill>
          </w14:textFill>
        </w:rPr>
        <w:t>健全养老事业和产业协同发展政策机制，优化基本养老服务供给，完善城乡养老服务网络，加强公共设施适老化和无障碍改造。构建以居家养老为基础、社区养老为依托、机构养老为补充的社会养老服务体系。健全多层次养老服务网络，发展智慧型家庭养老床位等“类机构”照护模式，践行“五床联动”服务模式。强化社区养老依托作用，推广“社区+物业+养老服务”等模式，提升日间照料、康复护理等能力。</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到2030年，全区养老机构护理型床位占比达到75%以上，推进建设区级公办养老机构项目，公办养老机构失能照护专区和认知障碍照护专区建有率达到100%。健全城乡三级养老服务网络体系，建设综合养老服务管理平台，强化以失能老年人照护为重点的基本养老服务。推广智能化家居和健康产品，探索居家养老安全风险预警和防范服务。培育“养老+”融合业态，</w:t>
      </w:r>
      <w:r>
        <w:rPr>
          <w:rFonts w:hint="eastAsia" w:ascii="仿宋" w:hAnsi="仿宋" w:eastAsia="仿宋" w:cs="仿宋"/>
          <w:b w:val="0"/>
          <w:bCs w:val="0"/>
          <w:color w:val="000000" w:themeColor="text1"/>
          <w:highlight w:val="none"/>
          <w:lang w:val="en-US" w:eastAsia="zh-CN"/>
          <w14:textFill>
            <w14:solidFill>
              <w14:schemeClr w14:val="tx1"/>
            </w14:solidFill>
          </w14:textFill>
        </w:rPr>
        <w:t>推动老有所为，稳妥实施渐进式延迟法定退休年龄，优化就业、社保等方面的年龄限制政策，积极开发老年人力资源，发展银发经济。</w:t>
      </w:r>
    </w:p>
    <w:p w14:paraId="631A17C7">
      <w:pPr>
        <w:pageBreakBefore w:val="0"/>
        <w:widowControl w:val="0"/>
        <w:kinsoku/>
        <w:wordWrap/>
        <w:topLinePunct w:val="0"/>
        <w:autoSpaceDN/>
        <w:bidi w:val="0"/>
        <w:snapToGrid w:val="0"/>
        <w:spacing w:beforeAutospacing="0" w:afterAutospacing="0" w:line="600" w:lineRule="exact"/>
        <w:ind w:left="0" w:leftChars="0" w:firstLine="643" w:firstLineChars="200"/>
        <w:jc w:val="both"/>
        <w:rPr>
          <w:rFonts w:hint="eastAsia" w:ascii="仿宋" w:hAnsi="仿宋" w:eastAsia="仿宋" w:cs="仿宋"/>
          <w:b w:val="0"/>
          <w:bCs w:val="0"/>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第三节 大力提升全民科学素质。</w:t>
      </w:r>
      <w:r>
        <w:rPr>
          <w:rFonts w:hint="eastAsia" w:ascii="仿宋" w:hAnsi="仿宋" w:eastAsia="仿宋" w:cs="仿宋"/>
          <w:b w:val="0"/>
          <w:bCs w:val="0"/>
          <w:color w:val="000000" w:themeColor="text1"/>
          <w:highlight w:val="none"/>
          <w:lang w:val="en-US" w:eastAsia="zh-CN"/>
          <w14:textFill>
            <w14:solidFill>
              <w14:schemeClr w14:val="tx1"/>
            </w14:solidFill>
          </w14:textFill>
        </w:rPr>
        <w:t>加强科学技术普及，培育创新文化，弘扬科学家精神，加强科技法治、伦理、诚信、安全建设。加快高水平科技自立自强，引领发展新质生产力。针对青少年、农民、工人、老年人、领导干部和公务员“五大人群”分类施策，深入实施专项提升行动，不断丰富完善科普系列活动。优化全域覆盖、高效触达的现代化科普网络，优化高端科普资源配置和利用，强化资源共享。构建科普传播体系，推进智慧科普建设，促进科技资源科普化。按不低于全省平均水平，将科普经费纳入本级财政预算，并逐步提高科普投入水平。到2030年，我区公民具备科学素质比例达到全省平均水平。</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6ECC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4"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5B919FA9">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leftChars="0" w:right="0" w:firstLine="0" w:firstLineChars="0"/>
              <w:jc w:val="center"/>
              <w:rPr>
                <w:rFonts w:hint="default" w:ascii="Times New Roman" w:hAnsi="Times New Roman" w:eastAsia="仿宋_GB2312" w:cs="Times New Roman"/>
                <w:color w:val="000000" w:themeColor="text1"/>
                <w:kern w:val="2"/>
                <w:sz w:val="32"/>
                <w:szCs w:val="32"/>
                <w:highlight w:val="none"/>
                <w14:textFill>
                  <w14:solidFill>
                    <w14:schemeClr w14:val="tx1"/>
                  </w14:solidFill>
                </w14:textFill>
                <w:woUserID w:val="1"/>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1"/>
              </w:rPr>
              <w:t>专栏12-</w:t>
            </w:r>
            <w:r>
              <w:rPr>
                <w:rFonts w:hint="eastAsia" w:eastAsia="微软雅黑" w:cs="Times New Roman"/>
                <w:color w:val="000000" w:themeColor="text1"/>
                <w:kern w:val="2"/>
                <w:sz w:val="24"/>
                <w:szCs w:val="24"/>
                <w:highlight w:val="none"/>
                <w:lang w:val="en-US" w:eastAsia="zh-CN" w:bidi="ar"/>
                <w14:textFill>
                  <w14:solidFill>
                    <w14:schemeClr w14:val="tx1"/>
                  </w14:solidFill>
                </w14:textFill>
                <w:woUserID w:val="1"/>
              </w:rPr>
              <w:t>2</w:t>
            </w: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1"/>
              </w:rPr>
              <w:t xml:space="preserve">  全区社会保障重点工程</w:t>
            </w:r>
          </w:p>
        </w:tc>
      </w:tr>
      <w:tr w14:paraId="2227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top"/>
          </w:tcPr>
          <w:p w14:paraId="54D4A028">
            <w:pPr>
              <w:pStyle w:val="10"/>
              <w:keepNext w:val="0"/>
              <w:keepLines w:val="0"/>
              <w:pageBreakBefore w:val="0"/>
              <w:widowControl w:val="0"/>
              <w:kinsoku/>
              <w:wordWrap/>
              <w:topLinePunct w:val="0"/>
              <w:autoSpaceDN/>
              <w:bidi w:val="0"/>
              <w:snapToGrid w:val="0"/>
              <w:spacing w:beforeAutospacing="0" w:afterAutospacing="0" w:line="600" w:lineRule="exact"/>
              <w:ind w:lef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14:textFill>
                  <w14:solidFill>
                    <w14:schemeClr w14:val="tx1"/>
                  </w14:solidFill>
                </w14:textFill>
                <w:woUserID w:val="1"/>
              </w:rPr>
              <w:t>1.医疗卫生强基工程</w:t>
            </w:r>
            <w:r>
              <w:rPr>
                <w:rFonts w:hint="default" w:ascii="Times New Roman" w:hAnsi="Times New Roman" w:eastAsia="仿宋_GB2312" w:cs="Times New Roman"/>
                <w:color w:val="000000" w:themeColor="text1"/>
                <w:kern w:val="2"/>
                <w:sz w:val="24"/>
                <w:szCs w:val="24"/>
                <w:highlight w:val="none"/>
                <w:lang w:eastAsia="zh-CN"/>
                <w14:textFill>
                  <w14:solidFill>
                    <w14:schemeClr w14:val="tx1"/>
                  </w14:solidFill>
                </w14:textFill>
                <w:woUserID w:val="1"/>
              </w:rPr>
              <w:t>。</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提升基层医疗机构服务</w:t>
            </w:r>
            <w:r>
              <w:rPr>
                <w:rFonts w:hint="eastAsia" w:ascii="Times New Roman" w:hAnsi="Times New Roman" w:eastAsia="仿宋_GB2312" w:cs="Times New Roman"/>
                <w:color w:val="000000" w:themeColor="text1"/>
                <w:kern w:val="2"/>
                <w:sz w:val="24"/>
                <w:szCs w:val="24"/>
                <w:highlight w:val="none"/>
                <w:lang w:val="en-US" w:eastAsia="zh-CN"/>
                <w14:textFill>
                  <w14:solidFill>
                    <w14:schemeClr w14:val="tx1"/>
                  </w14:solidFill>
                </w14:textFill>
                <w:woUserID w:val="1"/>
              </w:rPr>
              <w:t>质量</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与均等化水平，重点实施东风区公共卫生服务大厦建设项目、人民医院病房改造建设项目等。</w:t>
            </w:r>
          </w:p>
          <w:p w14:paraId="2635276E">
            <w:pPr>
              <w:pStyle w:val="10"/>
              <w:keepNext w:val="0"/>
              <w:keepLines w:val="0"/>
              <w:pageBreakBefore w:val="0"/>
              <w:widowControl w:val="0"/>
              <w:kinsoku/>
              <w:wordWrap/>
              <w:topLinePunct w:val="0"/>
              <w:autoSpaceDN/>
              <w:bidi w:val="0"/>
              <w:snapToGrid w:val="0"/>
              <w:spacing w:beforeAutospacing="0" w:afterAutospacing="0" w:line="600" w:lineRule="exact"/>
              <w:ind w:lef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14:textFill>
                  <w14:solidFill>
                    <w14:schemeClr w14:val="tx1"/>
                  </w14:solidFill>
                </w14:textFill>
                <w:woUserID w:val="1"/>
              </w:rPr>
              <w:t>2.全民健康数智化工程</w:t>
            </w:r>
            <w:r>
              <w:rPr>
                <w:rFonts w:hint="default" w:ascii="Times New Roman" w:hAnsi="Times New Roman" w:eastAsia="仿宋_GB2312" w:cs="Times New Roman"/>
                <w:b/>
                <w:bCs/>
                <w:color w:val="000000" w:themeColor="text1"/>
                <w:kern w:val="2"/>
                <w:sz w:val="24"/>
                <w:szCs w:val="24"/>
                <w:highlight w:val="none"/>
                <w:lang w:eastAsia="zh-CN"/>
                <w14:textFill>
                  <w14:solidFill>
                    <w14:schemeClr w14:val="tx1"/>
                  </w14:solidFill>
                </w14:textFill>
                <w:woUserID w:val="1"/>
              </w:rPr>
              <w:t>。</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推行健康东风“数字赋能”行动，实现基层诊疗智能辅助应用基本全覆盖和医共体信息互通。重点实施东风区人民医院医联体设备更新项目、智慧生物消毒科创中心</w:t>
            </w:r>
            <w:r>
              <w:rPr>
                <w:rFonts w:hint="eastAsia" w:ascii="Times New Roman" w:hAnsi="Times New Roman" w:eastAsia="仿宋_GB2312" w:cs="Times New Roman"/>
                <w:color w:val="000000" w:themeColor="text1"/>
                <w:kern w:val="2"/>
                <w:sz w:val="24"/>
                <w:szCs w:val="24"/>
                <w:highlight w:val="none"/>
                <w:lang w:eastAsia="zh-CN"/>
                <w14:textFill>
                  <w14:solidFill>
                    <w14:schemeClr w14:val="tx1"/>
                  </w14:solidFill>
                </w14:textFill>
                <w:woUserID w:val="1"/>
              </w:rPr>
              <w:t>—</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碳酸次氯酸项目、数字医疗研发孵化基地</w:t>
            </w:r>
            <w:r>
              <w:rPr>
                <w:rFonts w:hint="eastAsia" w:ascii="Times New Roman" w:hAnsi="Times New Roman" w:eastAsia="仿宋_GB2312" w:cs="Times New Roman"/>
                <w:color w:val="000000" w:themeColor="text1"/>
                <w:kern w:val="2"/>
                <w:sz w:val="24"/>
                <w:szCs w:val="24"/>
                <w:highlight w:val="none"/>
                <w:lang w:eastAsia="zh-CN"/>
                <w14:textFill>
                  <w14:solidFill>
                    <w14:schemeClr w14:val="tx1"/>
                  </w14:solidFill>
                </w14:textFill>
                <w:woUserID w:val="1"/>
              </w:rPr>
              <w:t>—</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脑机接口研发注册中心项目、医学检验检测试剂销售配送中心项目等。</w:t>
            </w:r>
          </w:p>
          <w:p w14:paraId="1442E01F">
            <w:pPr>
              <w:pStyle w:val="10"/>
              <w:keepNext w:val="0"/>
              <w:keepLines w:val="0"/>
              <w:pageBreakBefore w:val="0"/>
              <w:widowControl w:val="0"/>
              <w:kinsoku/>
              <w:wordWrap/>
              <w:topLinePunct w:val="0"/>
              <w:autoSpaceDN/>
              <w:bidi w:val="0"/>
              <w:snapToGrid w:val="0"/>
              <w:spacing w:beforeAutospacing="0" w:afterAutospacing="0" w:line="600" w:lineRule="exact"/>
              <w:ind w:lef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14:textFill>
                  <w14:solidFill>
                    <w14:schemeClr w14:val="tx1"/>
                  </w14:solidFill>
                </w14:textFill>
                <w:woUserID w:val="1"/>
              </w:rPr>
              <w:t>3.重点人群健康保障工程</w:t>
            </w:r>
            <w:r>
              <w:rPr>
                <w:rFonts w:hint="default" w:ascii="Times New Roman" w:hAnsi="Times New Roman" w:eastAsia="仿宋_GB2312" w:cs="Times New Roman"/>
                <w:b/>
                <w:bCs/>
                <w:color w:val="000000" w:themeColor="text1"/>
                <w:kern w:val="2"/>
                <w:sz w:val="24"/>
                <w:szCs w:val="24"/>
                <w:highlight w:val="none"/>
                <w:lang w:eastAsia="zh-CN"/>
                <w14:textFill>
                  <w14:solidFill>
                    <w14:schemeClr w14:val="tx1"/>
                  </w14:solidFill>
                </w14:textFill>
                <w:woUserID w:val="1"/>
              </w:rPr>
              <w:t>。</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推进儿童、老年人和妇女等重点人群健康保障服务，扩容普惠托育服务。重点实施佳木斯东风区儿童职业体验馆项目、</w:t>
            </w:r>
            <w:r>
              <w:rPr>
                <w:rFonts w:hint="eastAsia" w:ascii="Times New Roman" w:hAnsi="Times New Roman" w:eastAsia="仿宋_GB2312" w:cs="Times New Roman"/>
                <w:color w:val="000000" w:themeColor="text1"/>
                <w:kern w:val="2"/>
                <w:sz w:val="24"/>
                <w:szCs w:val="24"/>
                <w:highlight w:val="none"/>
                <w:lang w:val="en-US" w:eastAsia="zh-CN"/>
                <w14:textFill>
                  <w14:solidFill>
                    <w14:schemeClr w14:val="tx1"/>
                  </w14:solidFill>
                </w14:textFill>
                <w:woUserID w:val="1"/>
              </w:rPr>
              <w:t>东风区托育中心项目、</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东风区中心敬老院项目</w:t>
            </w:r>
            <w:r>
              <w:rPr>
                <w:rFonts w:hint="default" w:ascii="Times New Roman" w:hAnsi="Times New Roman" w:eastAsia="仿宋_GB2312" w:cs="Times New Roman"/>
                <w:color w:val="000000" w:themeColor="text1"/>
                <w:kern w:val="2"/>
                <w:sz w:val="24"/>
                <w:szCs w:val="24"/>
                <w:highlight w:val="none"/>
                <w:u w:val="none"/>
                <w14:textFill>
                  <w14:solidFill>
                    <w14:schemeClr w14:val="tx1"/>
                  </w14:solidFill>
                </w14:textFill>
              </w:rPr>
              <w:t>、</w:t>
            </w:r>
            <w:r>
              <w:rPr>
                <w:rFonts w:hint="default" w:ascii="Times New Roman" w:hAnsi="Times New Roman" w:eastAsia="仿宋_GB2312" w:cs="Times New Roman"/>
                <w:color w:val="000000" w:themeColor="text1"/>
                <w:kern w:val="2"/>
                <w:sz w:val="24"/>
                <w:szCs w:val="24"/>
                <w:highlight w:val="none"/>
                <w:u w:val="none"/>
                <w:lang w:val="en-US" w:eastAsia="zh-CN"/>
                <w14:textFill>
                  <w14:solidFill>
                    <w14:schemeClr w14:val="tx1"/>
                  </w14:solidFill>
                </w14:textFill>
              </w:rPr>
              <w:t>城乡三级养老服务网络</w:t>
            </w:r>
            <w:r>
              <w:rPr>
                <w:rFonts w:hint="eastAsia" w:ascii="Times New Roman" w:hAnsi="Times New Roman" w:eastAsia="仿宋_GB2312" w:cs="Times New Roman"/>
                <w:color w:val="000000" w:themeColor="text1"/>
                <w:kern w:val="2"/>
                <w:sz w:val="24"/>
                <w:szCs w:val="24"/>
                <w:highlight w:val="none"/>
                <w:u w:val="none"/>
                <w:lang w:val="en-US" w:eastAsia="zh-CN"/>
                <w14:textFill>
                  <w14:solidFill>
                    <w14:schemeClr w14:val="tx1"/>
                  </w14:solidFill>
                </w14:textFill>
              </w:rPr>
              <w:t>项目、</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东风区社区医养一体化服务建设项目、东风区居家康</w:t>
            </w:r>
            <w:r>
              <w:rPr>
                <w:rFonts w:hint="eastAsia" w:ascii="Times New Roman" w:hAnsi="Times New Roman" w:eastAsia="仿宋_GB2312" w:cs="Times New Roman"/>
                <w:color w:val="000000" w:themeColor="text1"/>
                <w:kern w:val="2"/>
                <w:sz w:val="24"/>
                <w:szCs w:val="24"/>
                <w:highlight w:val="none"/>
                <w:lang w:val="en-US" w:eastAsia="zh-CN"/>
                <w14:textFill>
                  <w14:solidFill>
                    <w14:schemeClr w14:val="tx1"/>
                  </w14:solidFill>
                </w14:textFill>
                <w:woUserID w:val="1"/>
              </w:rPr>
              <w:t>养</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服务建设项目、</w:t>
            </w:r>
            <w:r>
              <w:rPr>
                <w:rFonts w:hint="eastAsia" w:ascii="Times New Roman" w:hAnsi="Times New Roman" w:eastAsia="仿宋_GB2312" w:cs="Times New Roman"/>
                <w:color w:val="000000" w:themeColor="text1"/>
                <w:kern w:val="2"/>
                <w:sz w:val="24"/>
                <w:szCs w:val="24"/>
                <w:highlight w:val="none"/>
                <w:lang w:val="en-US" w:eastAsia="zh-CN"/>
                <w14:textFill>
                  <w14:solidFill>
                    <w14:schemeClr w14:val="tx1"/>
                  </w14:solidFill>
                </w14:textFill>
                <w:woUserID w:val="1"/>
              </w:rPr>
              <w:t>东风区</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医养康养综合体建设项目等。</w:t>
            </w:r>
          </w:p>
          <w:p w14:paraId="43D9D30D">
            <w:pPr>
              <w:pStyle w:val="10"/>
              <w:keepNext w:val="0"/>
              <w:keepLines w:val="0"/>
              <w:pageBreakBefore w:val="0"/>
              <w:widowControl w:val="0"/>
              <w:kinsoku/>
              <w:wordWrap/>
              <w:topLinePunct w:val="0"/>
              <w:autoSpaceDN/>
              <w:bidi w:val="0"/>
              <w:snapToGrid w:val="0"/>
              <w:spacing w:beforeAutospacing="0" w:afterAutospacing="0" w:line="600" w:lineRule="exact"/>
              <w:ind w:lef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14:textFill>
                  <w14:solidFill>
                    <w14:schemeClr w14:val="tx1"/>
                  </w14:solidFill>
                </w14:textFill>
                <w:woUserID w:val="1"/>
              </w:rPr>
              <w:t>4.专科能力与医疗中心建设工程</w:t>
            </w:r>
            <w:r>
              <w:rPr>
                <w:rFonts w:hint="default" w:ascii="Times New Roman" w:hAnsi="Times New Roman" w:eastAsia="仿宋_GB2312" w:cs="Times New Roman"/>
                <w:b/>
                <w:bCs/>
                <w:color w:val="000000" w:themeColor="text1"/>
                <w:kern w:val="2"/>
                <w:sz w:val="24"/>
                <w:szCs w:val="24"/>
                <w:highlight w:val="none"/>
                <w:lang w:eastAsia="zh-CN"/>
                <w14:textFill>
                  <w14:solidFill>
                    <w14:schemeClr w14:val="tx1"/>
                  </w14:solidFill>
                </w14:textFill>
                <w:woUserID w:val="1"/>
              </w:rPr>
              <w:t>。</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加快建设各级临床重点专科，推进国家医学中心、区域医疗中心提质增效。重点实施耳鼻喉专科医院项目等。</w:t>
            </w:r>
          </w:p>
          <w:p w14:paraId="403AA7FD">
            <w:pPr>
              <w:pStyle w:val="10"/>
              <w:keepNext w:val="0"/>
              <w:keepLines w:val="0"/>
              <w:pageBreakBefore w:val="0"/>
              <w:widowControl w:val="0"/>
              <w:kinsoku/>
              <w:wordWrap/>
              <w:topLinePunct w:val="0"/>
              <w:autoSpaceDN/>
              <w:bidi w:val="0"/>
              <w:snapToGrid w:val="0"/>
              <w:spacing w:beforeAutospacing="0" w:afterAutospacing="0" w:line="600" w:lineRule="exact"/>
              <w:ind w:left="0" w:firstLine="482"/>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14:textFill>
                  <w14:solidFill>
                    <w14:schemeClr w14:val="tx1"/>
                  </w14:solidFill>
                </w14:textFill>
                <w:woUserID w:val="1"/>
              </w:rPr>
              <w:t>5.中医药振兴发展工程</w:t>
            </w:r>
            <w:r>
              <w:rPr>
                <w:rFonts w:hint="default" w:ascii="Times New Roman" w:hAnsi="Times New Roman" w:eastAsia="仿宋_GB2312" w:cs="Times New Roman"/>
                <w:b/>
                <w:bCs/>
                <w:color w:val="000000" w:themeColor="text1"/>
                <w:kern w:val="2"/>
                <w:sz w:val="24"/>
                <w:szCs w:val="24"/>
                <w:highlight w:val="none"/>
                <w:lang w:eastAsia="zh-CN"/>
                <w14:textFill>
                  <w14:solidFill>
                    <w14:schemeClr w14:val="tx1"/>
                  </w14:solidFill>
                </w14:textFill>
                <w:woUserID w:val="1"/>
              </w:rPr>
              <w:t>。</w:t>
            </w:r>
            <w:r>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t>推广中西医协同诊疗，拓展中医治未病、老年健康等特色服务，推动中医药融入基层医疗。</w:t>
            </w:r>
          </w:p>
        </w:tc>
      </w:tr>
    </w:tbl>
    <w:p w14:paraId="2CE421C5">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pPr>
      <w:bookmarkStart w:id="68" w:name="_Toc16655"/>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第五十章</w:t>
      </w:r>
      <w:r>
        <w:rPr>
          <w:rFonts w:hint="eastAsia" w:ascii="楷体" w:hAnsi="楷体" w:eastAsia="楷体" w:cs="楷体"/>
          <w:b/>
          <w:bCs w:val="0"/>
          <w:color w:val="000000" w:themeColor="text1"/>
          <w:kern w:val="2"/>
          <w:sz w:val="32"/>
          <w:szCs w:val="32"/>
          <w:highlight w:val="none"/>
          <w:lang w:eastAsia="zh"/>
          <w14:textFill>
            <w14:solidFill>
              <w14:schemeClr w14:val="tx1"/>
            </w14:solidFill>
          </w14:textFill>
          <w:woUserID w:val="1"/>
        </w:rPr>
        <w:t xml:space="preserve"> </w:t>
      </w:r>
      <w:bookmarkEnd w:id="68"/>
      <w:r>
        <w:rPr>
          <w:rFonts w:hint="eastAsia" w:ascii="楷体" w:hAnsi="楷体" w:eastAsia="楷体" w:cs="楷体"/>
          <w:b/>
          <w:bCs w:val="0"/>
          <w:color w:val="000000" w:themeColor="text1"/>
          <w:kern w:val="2"/>
          <w:sz w:val="32"/>
          <w:szCs w:val="32"/>
          <w:highlight w:val="none"/>
          <w:lang w:val="en-US" w:eastAsia="zh-CN"/>
          <w14:textFill>
            <w14:solidFill>
              <w14:schemeClr w14:val="tx1"/>
            </w14:solidFill>
          </w14:textFill>
          <w:woUserID w:val="1"/>
        </w:rPr>
        <w:t>稳步推进基本公共服务均等化</w:t>
      </w:r>
    </w:p>
    <w:p w14:paraId="3F57D91B">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围绕全民覆盖、普惠共享、城乡一体、可持续的方向，持续加大投入、创新机制、优化布局，逐步缩小城乡、群体间的基本公共服务差距，使发展成果更多更公平惠及全体人民。</w:t>
      </w:r>
    </w:p>
    <w:p w14:paraId="6E9AF72C">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第一节 </w:t>
      </w:r>
      <w:r>
        <w:rPr>
          <w:rFonts w:hint="eastAsia" w:ascii="仿宋" w:hAnsi="仿宋" w:eastAsia="仿宋" w:cs="仿宋"/>
          <w:b/>
          <w:bCs/>
          <w:color w:val="000000" w:themeColor="text1"/>
          <w:highlight w:val="none"/>
          <w14:textFill>
            <w14:solidFill>
              <w14:schemeClr w14:val="tx1"/>
            </w14:solidFill>
          </w14:textFill>
        </w:rPr>
        <w:t>完善基本公共服务制度体系与标准规范</w:t>
      </w:r>
      <w:r>
        <w:rPr>
          <w:rFonts w:hint="eastAsia" w:ascii="仿宋" w:hAnsi="仿宋" w:eastAsia="仿宋" w:cs="仿宋"/>
          <w:color w:val="000000" w:themeColor="text1"/>
          <w:highlight w:val="none"/>
          <w14:textFill>
            <w14:solidFill>
              <w14:schemeClr w14:val="tx1"/>
            </w14:solidFill>
          </w14:textFill>
        </w:rPr>
        <w:t>。科学界定基本公共服务范围和内容，制定基本公共服务均等化实施</w:t>
      </w:r>
      <w:r>
        <w:rPr>
          <w:rFonts w:hint="eastAsia" w:ascii="仿宋" w:hAnsi="仿宋" w:eastAsia="仿宋" w:cs="仿宋"/>
          <w:color w:val="000000" w:themeColor="text1"/>
          <w:highlight w:val="none"/>
          <w:lang w:val="en-US" w:eastAsia="zh-CN"/>
          <w14:textFill>
            <w14:solidFill>
              <w14:schemeClr w14:val="tx1"/>
            </w14:solidFill>
          </w14:textFill>
        </w:rPr>
        <w:t>计划</w:t>
      </w:r>
      <w:r>
        <w:rPr>
          <w:rFonts w:hint="eastAsia" w:ascii="仿宋" w:hAnsi="仿宋" w:eastAsia="仿宋" w:cs="仿宋"/>
          <w:color w:val="000000" w:themeColor="text1"/>
          <w:highlight w:val="none"/>
          <w14:textFill>
            <w14:solidFill>
              <w14:schemeClr w14:val="tx1"/>
            </w14:solidFill>
          </w14:textFill>
        </w:rPr>
        <w:t>。建立与经济社会发展水平相适应、与财政保障能力相匹配的基本公共服务标准动态调整机制。推动基本公共服务资源向基层延伸、向农村覆盖、向薄弱环节倾斜。完善城乡统一的基本公共服务制度，健全与常住人口规模相适应的公共资源配置机制。建立基本公共服务财政保障长效机制，确保财政资金投入与基本公共服务需求同步增长。</w:t>
      </w:r>
      <w:r>
        <w:rPr>
          <w:rFonts w:hint="eastAsia" w:ascii="仿宋" w:hAnsi="仿宋" w:eastAsia="仿宋" w:cs="仿宋"/>
          <w:color w:val="000000" w:themeColor="text1"/>
          <w:highlight w:val="none"/>
          <w:lang w:val="en-US" w:eastAsia="zh-CN"/>
          <w14:textFill>
            <w14:solidFill>
              <w14:schemeClr w14:val="tx1"/>
            </w14:solidFill>
          </w14:textFill>
        </w:rPr>
        <w:t>落实家庭医生签约服务，积极推进“互联网+签约”家庭医生签约模式。持续开展“优质基层行”，实现基础医疗机构标准化建设。</w:t>
      </w:r>
    </w:p>
    <w:p w14:paraId="239FDDC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第二节 </w:t>
      </w:r>
      <w:r>
        <w:rPr>
          <w:rFonts w:hint="eastAsia" w:ascii="仿宋" w:hAnsi="仿宋" w:eastAsia="仿宋" w:cs="仿宋"/>
          <w:b/>
          <w:bCs/>
          <w:color w:val="000000" w:themeColor="text1"/>
          <w:highlight w:val="none"/>
          <w14:textFill>
            <w14:solidFill>
              <w14:schemeClr w14:val="tx1"/>
            </w14:solidFill>
          </w14:textFill>
        </w:rPr>
        <w:t>优化公共服务设施布局与服务网络构建</w:t>
      </w:r>
      <w:r>
        <w:rPr>
          <w:rFonts w:hint="eastAsia" w:ascii="仿宋" w:hAnsi="仿宋" w:eastAsia="仿宋" w:cs="仿宋"/>
          <w:color w:val="000000" w:themeColor="text1"/>
          <w:highlight w:val="none"/>
          <w14:textFill>
            <w14:solidFill>
              <w14:schemeClr w14:val="tx1"/>
            </w14:solidFill>
          </w14:textFill>
        </w:rPr>
        <w:t>。高标准建设城市</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一刻钟</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便民生活圈，以社区</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村镇</w:t>
      </w:r>
      <w:r>
        <w:rPr>
          <w:rFonts w:hint="eastAsia" w:ascii="仿宋" w:hAnsi="仿宋" w:eastAsia="仿宋" w:cs="仿宋"/>
          <w:color w:val="000000" w:themeColor="text1"/>
          <w:highlight w:val="none"/>
          <w14:textFill>
            <w14:solidFill>
              <w14:schemeClr w14:val="tx1"/>
            </w14:solidFill>
          </w14:textFill>
        </w:rPr>
        <w:t>为单位统筹布局教育、医疗、养老、文化、体育等公共服务设施。推进城乡公共服务设施一体化规划建设，增加区乡两级基本公共服务供给。完善区级公共文化体育设施网络，推动公共文化数字化建设。全面深化事业单位改革，优化公共服务供给主体结构。创新公共服务提供方式，鼓励社会力量参与公共服务供给，形成多元化、专业化、现代化的公共服务供给体系。</w:t>
      </w:r>
    </w:p>
    <w:p w14:paraId="2818762F">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eastAsia="zh-CN"/>
          <w14:textFill>
            <w14:solidFill>
              <w14:schemeClr w14:val="tx1"/>
            </w14:solidFill>
          </w14:textFill>
        </w:rPr>
        <w:t xml:space="preserve">第三节 </w:t>
      </w:r>
      <w:r>
        <w:rPr>
          <w:rFonts w:hint="eastAsia" w:ascii="仿宋" w:hAnsi="仿宋" w:eastAsia="仿宋" w:cs="仿宋"/>
          <w:b/>
          <w:bCs/>
          <w:color w:val="000000" w:themeColor="text1"/>
          <w:highlight w:val="none"/>
          <w14:textFill>
            <w14:solidFill>
              <w14:schemeClr w14:val="tx1"/>
            </w14:solidFill>
          </w14:textFill>
        </w:rPr>
        <w:t>创新公共服务供给模式与运行管理机制。</w:t>
      </w:r>
      <w:r>
        <w:rPr>
          <w:rFonts w:hint="eastAsia" w:ascii="仿宋" w:hAnsi="仿宋" w:eastAsia="仿宋" w:cs="仿宋"/>
          <w:color w:val="000000" w:themeColor="text1"/>
          <w:highlight w:val="none"/>
          <w14:textFill>
            <w14:solidFill>
              <w14:schemeClr w14:val="tx1"/>
            </w14:solidFill>
          </w14:textFill>
        </w:rPr>
        <w:t>推动更多公共服务事项“一网通办”、“跨省通办”，提升公共服务便利化水平。健全基本公共服务质量监测评价体系，建立以服务质量、群众满意度为导向的绩效考核机制。完善对生活困难群众、特殊群体的公共服务保障机制，实现精准识别、精准帮扶。推动基本公共服务从制度全覆盖转向实际人群全覆盖，从保障生存型需求转向满足发展型需求，让改革发展成果更多更公平惠及全体人民。</w:t>
      </w:r>
    </w:p>
    <w:p w14:paraId="2B96CA76">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lang w:val="en-US" w:eastAsia="zh"/>
          <w14:textFill>
            <w14:solidFill>
              <w14:schemeClr w14:val="tx1"/>
            </w14:solidFill>
          </w14:textFill>
        </w:rPr>
      </w:pPr>
      <w:r>
        <w:rPr>
          <w:rFonts w:hint="eastAsia" w:ascii="仿宋" w:hAnsi="仿宋" w:eastAsia="仿宋" w:cs="仿宋"/>
          <w:b/>
          <w:bCs/>
          <w:color w:val="000000" w:themeColor="text1"/>
          <w:highlight w:val="none"/>
          <w:lang w:val="en-US" w:eastAsia="zh"/>
          <w14:textFill>
            <w14:solidFill>
              <w14:schemeClr w14:val="tx1"/>
            </w14:solidFill>
          </w14:textFill>
        </w:rPr>
        <w:t>第</w:t>
      </w:r>
      <w:r>
        <w:rPr>
          <w:rFonts w:hint="eastAsia" w:ascii="仿宋" w:hAnsi="仿宋" w:eastAsia="仿宋" w:cs="仿宋"/>
          <w:b/>
          <w:bCs/>
          <w:color w:val="000000" w:themeColor="text1"/>
          <w:highlight w:val="none"/>
          <w:lang w:val="en-US" w:eastAsia="zh-CN"/>
          <w14:textFill>
            <w14:solidFill>
              <w14:schemeClr w14:val="tx1"/>
            </w14:solidFill>
          </w14:textFill>
        </w:rPr>
        <w:t>四</w:t>
      </w:r>
      <w:r>
        <w:rPr>
          <w:rFonts w:hint="eastAsia" w:ascii="仿宋" w:hAnsi="仿宋" w:eastAsia="仿宋" w:cs="仿宋"/>
          <w:b/>
          <w:bCs/>
          <w:color w:val="000000" w:themeColor="text1"/>
          <w:highlight w:val="none"/>
          <w:lang w:val="en-US" w:eastAsia="zh"/>
          <w14:textFill>
            <w14:solidFill>
              <w14:schemeClr w14:val="tx1"/>
            </w14:solidFill>
          </w14:textFill>
        </w:rPr>
        <w:t>节</w:t>
      </w:r>
      <w:r>
        <w:rPr>
          <w:rFonts w:hint="eastAsia" w:ascii="仿宋" w:hAnsi="仿宋" w:eastAsia="仿宋" w:cs="仿宋"/>
          <w:b/>
          <w:bCs/>
          <w:color w:val="000000" w:themeColor="text1"/>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highlight w:val="none"/>
          <w:lang w:val="en-US" w:eastAsia="zh"/>
          <w14:textFill>
            <w14:solidFill>
              <w14:schemeClr w14:val="tx1"/>
            </w14:solidFill>
          </w14:textFill>
        </w:rPr>
        <w:t>全面深化事业单位改革</w:t>
      </w:r>
      <w:r>
        <w:rPr>
          <w:rFonts w:hint="eastAsia" w:ascii="仿宋" w:hAnsi="仿宋" w:eastAsia="仿宋" w:cs="仿宋"/>
          <w:b/>
          <w:bCs/>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lang w:val="en-US" w:eastAsia="zh"/>
          <w14:textFill>
            <w14:solidFill>
              <w14:schemeClr w14:val="tx1"/>
            </w14:solidFill>
          </w14:textFill>
        </w:rPr>
        <w:t>稳步推进事业单位分类改革，完善政事分开、事企分开、管办分离的制度安排。优化事业单位法人治理结构，健全决策、执行、监督相互协调的运行机制。继续完善事业单位人事管理制度、规范事业单位薪酬分配制度、拓宽事业单位职员晋升渠道、提升事业单位工作服务效能，探索建立事业单位编外用工监督管理机制，全面激发我</w:t>
      </w:r>
      <w:r>
        <w:rPr>
          <w:rFonts w:hint="eastAsia" w:ascii="仿宋" w:hAnsi="仿宋" w:eastAsia="仿宋" w:cs="仿宋"/>
          <w:color w:val="000000" w:themeColor="text1"/>
          <w:highlight w:val="none"/>
          <w:lang w:val="en-US" w:eastAsia="zh-CN"/>
          <w14:textFill>
            <w14:solidFill>
              <w14:schemeClr w14:val="tx1"/>
            </w14:solidFill>
          </w14:textFill>
        </w:rPr>
        <w:t>区</w:t>
      </w:r>
      <w:r>
        <w:rPr>
          <w:rFonts w:hint="eastAsia" w:ascii="仿宋" w:hAnsi="仿宋" w:eastAsia="仿宋" w:cs="仿宋"/>
          <w:color w:val="000000" w:themeColor="text1"/>
          <w:highlight w:val="none"/>
          <w:lang w:val="en-US" w:eastAsia="zh"/>
          <w14:textFill>
            <w14:solidFill>
              <w14:schemeClr w14:val="tx1"/>
            </w14:solidFill>
          </w14:textFill>
        </w:rPr>
        <w:t>事业单位发展活力和事业单位工作人员干事创业动力，促进我</w:t>
      </w:r>
      <w:r>
        <w:rPr>
          <w:rFonts w:hint="eastAsia" w:ascii="仿宋" w:hAnsi="仿宋" w:eastAsia="仿宋" w:cs="仿宋"/>
          <w:color w:val="000000" w:themeColor="text1"/>
          <w:highlight w:val="none"/>
          <w:lang w:val="en-US" w:eastAsia="zh-CN"/>
          <w14:textFill>
            <w14:solidFill>
              <w14:schemeClr w14:val="tx1"/>
            </w14:solidFill>
          </w14:textFill>
        </w:rPr>
        <w:t>区</w:t>
      </w:r>
      <w:r>
        <w:rPr>
          <w:rFonts w:hint="eastAsia" w:ascii="仿宋" w:hAnsi="仿宋" w:eastAsia="仿宋" w:cs="仿宋"/>
          <w:color w:val="000000" w:themeColor="text1"/>
          <w:highlight w:val="none"/>
          <w:lang w:val="en-US" w:eastAsia="zh"/>
          <w14:textFill>
            <w14:solidFill>
              <w14:schemeClr w14:val="tx1"/>
            </w14:solidFill>
          </w14:textFill>
        </w:rPr>
        <w:t>公益事业发展和公共服务能力“双提升”。</w:t>
      </w:r>
    </w:p>
    <w:p w14:paraId="5841BDE6">
      <w:pPr>
        <w:pStyle w:val="2"/>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bookmarkStart w:id="69" w:name="_Toc28070"/>
      <w:r>
        <w:rPr>
          <w:rFonts w:hint="default" w:ascii="Times New Roman" w:hAnsi="Times New Roman" w:cs="Times New Roman"/>
          <w:color w:val="000000" w:themeColor="text1"/>
          <w:highlight w:val="none"/>
          <w:lang w:eastAsia="zh"/>
          <w14:textFill>
            <w14:solidFill>
              <w14:schemeClr w14:val="tx1"/>
            </w14:solidFill>
          </w14:textFill>
        </w:rPr>
        <w:t xml:space="preserve">第十三篇 </w:t>
      </w:r>
      <w:r>
        <w:rPr>
          <w:rFonts w:hint="default" w:ascii="Times New Roman" w:hAnsi="Times New Roman" w:cs="Times New Roman"/>
          <w:color w:val="000000" w:themeColor="text1"/>
          <w:highlight w:val="none"/>
          <w:lang w:val="en-US" w:eastAsia="zh-CN"/>
          <w14:textFill>
            <w14:solidFill>
              <w14:schemeClr w14:val="tx1"/>
            </w14:solidFill>
          </w14:textFill>
        </w:rPr>
        <w:t>加快经济社会发展全面绿色转型，建设美丽东风区</w:t>
      </w:r>
      <w:bookmarkEnd w:id="69"/>
    </w:p>
    <w:p w14:paraId="58F0273F">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牢固树立和践行绿水青山就是金山银山的理念，坚持降碳、减污、扩绿、增长协同推进，以绿色低碳发展为导向，全方位、全地域、全过程加强生态环境保护，推动发展方式深刻转变，努力建设人与自然和谐共生的美丽东风区。</w:t>
      </w:r>
    </w:p>
    <w:p w14:paraId="191E3C1E">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b/>
          <w:bCs/>
          <w:color w:val="000000" w:themeColor="text1"/>
          <w:kern w:val="2"/>
          <w:sz w:val="32"/>
          <w:szCs w:val="32"/>
          <w:highlight w:val="none"/>
          <w14:textFill>
            <w14:solidFill>
              <w14:schemeClr w14:val="tx1"/>
            </w14:solidFill>
          </w14:textFill>
          <w:woUserID w:val="3"/>
        </w:rPr>
      </w:pPr>
      <w:bookmarkStart w:id="70" w:name="_Toc10240"/>
      <w:r>
        <w:rPr>
          <w:rFonts w:hint="eastAsia" w:ascii="楷体" w:hAnsi="楷体" w:eastAsia="楷体" w:cs="楷体"/>
          <w:bCs/>
          <w:color w:val="000000" w:themeColor="text1"/>
          <w:highlight w:val="none"/>
          <w:lang w:eastAsia="zh"/>
          <w14:textFill>
            <w14:solidFill>
              <w14:schemeClr w14:val="tx1"/>
            </w14:solidFill>
          </w14:textFill>
          <w:woUserID w:val="3"/>
        </w:rPr>
        <w:t xml:space="preserve">第五十一章 </w:t>
      </w:r>
      <w:r>
        <w:rPr>
          <w:rFonts w:hint="eastAsia" w:ascii="楷体" w:hAnsi="楷体" w:eastAsia="楷体" w:cs="楷体"/>
          <w:b/>
          <w:bCs/>
          <w:color w:val="000000" w:themeColor="text1"/>
          <w:kern w:val="2"/>
          <w:sz w:val="32"/>
          <w:szCs w:val="32"/>
          <w:highlight w:val="none"/>
          <w14:textFill>
            <w14:solidFill>
              <w14:schemeClr w14:val="tx1"/>
            </w14:solidFill>
          </w14:textFill>
          <w:woUserID w:val="3"/>
        </w:rPr>
        <w:t>持续深入推进污染防治攻坚</w:t>
      </w:r>
      <w:bookmarkEnd w:id="70"/>
    </w:p>
    <w:p w14:paraId="08B85D85">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坚持以改善生态环境质量为核心，保持力度、延伸深度、拓展广度，聚焦突出环境问题，深入打好蓝天、碧水、净土保卫战，推动污染防治在重点区域、重要领域、关键指标上实现新突破。</w:t>
      </w:r>
    </w:p>
    <w:p w14:paraId="7B8A960C">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i w:val="0"/>
          <w:iCs w:val="0"/>
          <w:caps w:val="0"/>
          <w:color w:val="000000" w:themeColor="text1"/>
          <w:spacing w:val="0"/>
          <w:sz w:val="32"/>
          <w:szCs w:val="32"/>
          <w:highlight w:val="none"/>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第一节 </w:t>
      </w:r>
      <w:r>
        <w:rPr>
          <w:rFonts w:hint="eastAsia" w:ascii="仿宋" w:hAnsi="仿宋" w:eastAsia="仿宋" w:cs="仿宋"/>
          <w:b/>
          <w:bCs/>
          <w:i w:val="0"/>
          <w:iCs w:val="0"/>
          <w:caps w:val="0"/>
          <w:color w:val="000000" w:themeColor="text1"/>
          <w:spacing w:val="0"/>
          <w:sz w:val="32"/>
          <w:szCs w:val="32"/>
          <w:highlight w:val="none"/>
          <w:shd w:val="clear"/>
          <w:lang w:eastAsia="zh"/>
          <w14:textFill>
            <w14:solidFill>
              <w14:schemeClr w14:val="tx1"/>
            </w14:solidFill>
          </w14:textFill>
          <w:woUserID w:val="3"/>
        </w:rPr>
        <w:t>打好</w:t>
      </w:r>
      <w:r>
        <w:rPr>
          <w:rStyle w:val="19"/>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蓝天保卫战</w:t>
      </w:r>
      <w:r>
        <w:rPr>
          <w:rStyle w:val="19"/>
          <w:rFonts w:hint="eastAsia" w:ascii="仿宋" w:hAnsi="仿宋" w:eastAsia="仿宋" w:cs="仿宋"/>
          <w:b/>
          <w:bCs/>
          <w:i w:val="0"/>
          <w:iCs w:val="0"/>
          <w:caps w:val="0"/>
          <w:color w:val="000000" w:themeColor="text1"/>
          <w:spacing w:val="0"/>
          <w:sz w:val="32"/>
          <w:szCs w:val="32"/>
          <w:highlight w:val="none"/>
          <w:shd w:val="clear"/>
          <w:lang w:eastAsia="zh-CN"/>
          <w14:textFill>
            <w14:solidFill>
              <w14:schemeClr w14:val="tx1"/>
            </w14:solidFill>
          </w14:textFill>
          <w:woUserID w:val="3"/>
        </w:rPr>
        <w:t>。</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聚焦工业源、移动源、生活源和农业源协同治理。</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深化工业污染治理</w:t>
      </w:r>
      <w:r>
        <w:rPr>
          <w:rFonts w:hint="eastAsia" w:ascii="仿宋" w:hAnsi="仿宋" w:eastAsia="仿宋" w:cs="仿宋"/>
          <w:b w:val="0"/>
          <w:bCs w:val="0"/>
          <w:i w:val="0"/>
          <w:iCs w:val="0"/>
          <w:caps w:val="0"/>
          <w:color w:val="000000" w:themeColor="text1"/>
          <w:spacing w:val="0"/>
          <w:sz w:val="32"/>
          <w:szCs w:val="32"/>
          <w:highlight w:val="none"/>
          <w:shd w:val="clear" w:fill="auto"/>
          <w14:textFill>
            <w14:solidFill>
              <w14:schemeClr w14:val="tx1"/>
            </w14:solidFill>
          </w14:textFill>
          <w:woUserID w:val="3"/>
        </w:rPr>
        <w:t>，持续推进重点行业超低排放改造和深度治理，对化工、包装印刷等重点企业开展挥发性有机物（VOCs）“一企一策”精细化管控，推广使用低VOCs含量原辅材料。</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强化移动源污染防治</w:t>
      </w:r>
      <w:r>
        <w:rPr>
          <w:rFonts w:hint="eastAsia" w:ascii="仿宋" w:hAnsi="仿宋" w:eastAsia="仿宋" w:cs="仿宋"/>
          <w:b w:val="0"/>
          <w:bCs w:val="0"/>
          <w:i w:val="0"/>
          <w:iCs w:val="0"/>
          <w:caps w:val="0"/>
          <w:color w:val="000000" w:themeColor="text1"/>
          <w:spacing w:val="0"/>
          <w:sz w:val="32"/>
          <w:szCs w:val="32"/>
          <w:highlight w:val="none"/>
          <w:shd w:val="clear" w:fill="auto"/>
          <w14:textFill>
            <w14:solidFill>
              <w14:schemeClr w14:val="tx1"/>
            </w14:solidFill>
          </w14:textFill>
          <w:woUserID w:val="3"/>
        </w:rPr>
        <w:t>，加快淘汰老旧柴油货车，推广新能源汽车，加强排放监管。</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推进面源污染整治</w:t>
      </w:r>
      <w:r>
        <w:rPr>
          <w:rFonts w:hint="eastAsia" w:ascii="仿宋" w:hAnsi="仿宋" w:eastAsia="仿宋" w:cs="仿宋"/>
          <w:b w:val="0"/>
          <w:bCs w:val="0"/>
          <w:i w:val="0"/>
          <w:iCs w:val="0"/>
          <w:caps w:val="0"/>
          <w:color w:val="000000" w:themeColor="text1"/>
          <w:spacing w:val="0"/>
          <w:sz w:val="32"/>
          <w:szCs w:val="32"/>
          <w:highlight w:val="none"/>
          <w:shd w:val="clear" w:fill="auto"/>
          <w14:textFill>
            <w14:solidFill>
              <w14:schemeClr w14:val="tx1"/>
            </w14:solidFill>
          </w14:textFill>
          <w:woUserID w:val="3"/>
        </w:rPr>
        <w:t>，持</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续加强施工扬尘、道路扬尘精细化管控，全域推进秸秆“五化”综合利用，完善“区-乡-村”三级网格化禁烧监管体系，因地制宜、稳妥有序推进清洁取暖和散煤替代，确保群众温暖过冬与空气质量改善双赢。完善重污染天气监测预警和应急联动响应机制，提升区域联防联控效能。</w:t>
      </w:r>
    </w:p>
    <w:p w14:paraId="179507B3">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i w:val="0"/>
          <w:iCs w:val="0"/>
          <w:caps w:val="0"/>
          <w:color w:val="000000" w:themeColor="text1"/>
          <w:spacing w:val="0"/>
          <w:sz w:val="32"/>
          <w:szCs w:val="32"/>
          <w:highlight w:val="none"/>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第二节 </w:t>
      </w:r>
      <w:r>
        <w:rPr>
          <w:rFonts w:hint="eastAsia" w:ascii="仿宋" w:hAnsi="仿宋" w:eastAsia="仿宋" w:cs="仿宋"/>
          <w:b/>
          <w:bCs/>
          <w:i w:val="0"/>
          <w:iCs w:val="0"/>
          <w:caps w:val="0"/>
          <w:color w:val="000000" w:themeColor="text1"/>
          <w:spacing w:val="0"/>
          <w:sz w:val="32"/>
          <w:szCs w:val="32"/>
          <w:highlight w:val="none"/>
          <w:shd w:val="clear"/>
          <w:lang w:eastAsia="zh"/>
          <w14:textFill>
            <w14:solidFill>
              <w14:schemeClr w14:val="tx1"/>
            </w14:solidFill>
          </w14:textFill>
          <w:woUserID w:val="3"/>
        </w:rPr>
        <w:t>打好</w:t>
      </w:r>
      <w:r>
        <w:rPr>
          <w:rStyle w:val="19"/>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碧水保卫战</w:t>
      </w:r>
      <w:r>
        <w:rPr>
          <w:rFonts w:hint="eastAsia" w:ascii="仿宋" w:hAnsi="仿宋" w:eastAsia="仿宋" w:cs="仿宋"/>
          <w:b/>
          <w:bCs/>
          <w:i w:val="0"/>
          <w:iCs w:val="0"/>
          <w:caps w:val="0"/>
          <w:color w:val="000000" w:themeColor="text1"/>
          <w:spacing w:val="0"/>
          <w:sz w:val="32"/>
          <w:szCs w:val="32"/>
          <w:highlight w:val="none"/>
          <w:shd w:val="clear"/>
          <w:lang w:eastAsia="zh"/>
          <w14:textFill>
            <w14:solidFill>
              <w14:schemeClr w14:val="tx1"/>
            </w14:solidFill>
          </w14:textFill>
          <w:woUserID w:val="3"/>
        </w:rPr>
        <w:t>。</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坚持水资源、水环境、水生态“三水统筹”。</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强化水源地保护</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，完成乡镇级及以下集中式饮用水水源地规范化建设和环境问题整治，确保饮水安全。</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深化水环境治理</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，以松花江流域东风区段为重点，实施入河排污口“查、测、溯、治”全覆盖和规范化管理，推进污水管网排查整治和雨污分流改造。</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加快基础设施建设</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，完善城乡结合部、乡镇和农村生活污水收集处理设施，加大污泥无害化和资源化处理处置力度。</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加强水生态修复</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，严格水域岸线</w:t>
      </w:r>
      <w:r>
        <w:rPr>
          <w:rFonts w:hint="eastAsia" w:ascii="仿宋" w:hAnsi="仿宋" w:eastAsia="仿宋" w:cs="仿宋"/>
          <w:i w:val="0"/>
          <w:iCs w:val="0"/>
          <w:caps w:val="0"/>
          <w:color w:val="000000" w:themeColor="text1"/>
          <w:spacing w:val="0"/>
          <w:sz w:val="32"/>
          <w:szCs w:val="32"/>
          <w:highlight w:val="none"/>
          <w:shd w:val="clear" w:fill="auto"/>
          <w:lang w:val="en-US" w:eastAsia="zh-CN"/>
          <w14:textFill>
            <w14:solidFill>
              <w14:schemeClr w14:val="tx1"/>
            </w14:solidFill>
          </w14:textFill>
          <w:woUserID w:val="3"/>
        </w:rPr>
        <w:t>管控，合理建设亲水便民设施，打造亲水文化。</w:t>
      </w:r>
    </w:p>
    <w:p w14:paraId="4497B001">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i w:val="0"/>
          <w:iCs w:val="0"/>
          <w:caps w:val="0"/>
          <w:color w:val="000000" w:themeColor="text1"/>
          <w:spacing w:val="0"/>
          <w:sz w:val="32"/>
          <w:szCs w:val="32"/>
          <w:highlight w:val="none"/>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第三节 </w:t>
      </w:r>
      <w:r>
        <w:rPr>
          <w:rFonts w:hint="eastAsia" w:ascii="仿宋" w:hAnsi="仿宋" w:eastAsia="仿宋" w:cs="仿宋"/>
          <w:b/>
          <w:bCs/>
          <w:i w:val="0"/>
          <w:iCs w:val="0"/>
          <w:caps w:val="0"/>
          <w:color w:val="000000" w:themeColor="text1"/>
          <w:spacing w:val="0"/>
          <w:sz w:val="32"/>
          <w:szCs w:val="32"/>
          <w:highlight w:val="none"/>
          <w:shd w:val="clear"/>
          <w:lang w:eastAsia="zh"/>
          <w14:textFill>
            <w14:solidFill>
              <w14:schemeClr w14:val="tx1"/>
            </w14:solidFill>
          </w14:textFill>
          <w:woUserID w:val="3"/>
        </w:rPr>
        <w:t>打好</w:t>
      </w:r>
      <w:r>
        <w:rPr>
          <w:rStyle w:val="19"/>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净土保卫战</w:t>
      </w:r>
      <w:r>
        <w:rPr>
          <w:rFonts w:hint="eastAsia" w:ascii="仿宋" w:hAnsi="仿宋" w:eastAsia="仿宋" w:cs="仿宋"/>
          <w:b/>
          <w:bCs/>
          <w:i w:val="0"/>
          <w:iCs w:val="0"/>
          <w:caps w:val="0"/>
          <w:color w:val="000000" w:themeColor="text1"/>
          <w:spacing w:val="0"/>
          <w:sz w:val="32"/>
          <w:szCs w:val="32"/>
          <w:highlight w:val="none"/>
          <w:shd w:val="clear"/>
          <w:lang w:eastAsia="zh"/>
          <w14:textFill>
            <w14:solidFill>
              <w14:schemeClr w14:val="tx1"/>
            </w14:solidFill>
          </w14:textFill>
          <w:woUserID w:val="3"/>
        </w:rPr>
        <w:t>。</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坚持预防为主、保护优先、风险管控。</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强化土壤污染源头防控</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，动态更新土壤污染重点监管单位名录，督促企业落实自行监测、隐患排查等法定义务。</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加强农用地分类管理和安全利用</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，严格落实黑土地保护制度，对建设项目占用的黑土地，必须按照“数量不减、质量不降、生态向好”的原则，严格实施表土剥离、保存和再利用。</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推进农业面源污染治理</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，推广科学施肥用药技术，提高畜禽粪污资源化利用水平和尾菜、农膜回收利用率。</w:t>
      </w:r>
      <w:r>
        <w:rPr>
          <w:rStyle w:val="19"/>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深化固体废物污染防治</w:t>
      </w:r>
      <w:r>
        <w:rPr>
          <w:rFonts w:hint="eastAsia" w:ascii="仿宋" w:hAnsi="仿宋" w:eastAsia="仿宋" w:cs="仿宋"/>
          <w:i w:val="0"/>
          <w:iCs w:val="0"/>
          <w:caps w:val="0"/>
          <w:color w:val="000000" w:themeColor="text1"/>
          <w:spacing w:val="0"/>
          <w:sz w:val="32"/>
          <w:szCs w:val="32"/>
          <w:highlight w:val="none"/>
          <w:shd w:val="clear" w:fill="auto"/>
          <w14:textFill>
            <w14:solidFill>
              <w14:schemeClr w14:val="tx1"/>
            </w14:solidFill>
          </w14:textFill>
          <w:woUserID w:val="3"/>
        </w:rPr>
        <w:t>，以“无废城区”建设为抓手，强化危险废物全过程信息化、规范化监管，加强医疗废物、一般工业固废的收集处置能力建设，促进建筑垃圾、生活垃圾资源化利用，积极探索新污染物调查监测和环境风险管控。</w:t>
      </w:r>
    </w:p>
    <w:p w14:paraId="698A7367">
      <w:pPr>
        <w:pStyle w:val="3"/>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14:textFill>
            <w14:solidFill>
              <w14:schemeClr w14:val="tx1"/>
            </w14:solidFill>
          </w14:textFill>
        </w:rPr>
      </w:pPr>
      <w:bookmarkStart w:id="71" w:name="_Toc4422"/>
      <w:r>
        <w:rPr>
          <w:rFonts w:hint="eastAsia" w:ascii="楷体" w:hAnsi="楷体" w:eastAsia="楷体" w:cs="楷体"/>
          <w:color w:val="000000" w:themeColor="text1"/>
          <w:highlight w:val="none"/>
          <w:lang w:eastAsia="zh"/>
          <w14:textFill>
            <w14:solidFill>
              <w14:schemeClr w14:val="tx1"/>
            </w14:solidFill>
          </w14:textFill>
        </w:rPr>
        <w:t xml:space="preserve">第五十二章 </w:t>
      </w:r>
      <w:r>
        <w:rPr>
          <w:rFonts w:hint="eastAsia" w:ascii="楷体" w:hAnsi="楷体" w:eastAsia="楷体" w:cs="楷体"/>
          <w:color w:val="000000" w:themeColor="text1"/>
          <w:highlight w:val="none"/>
          <w14:textFill>
            <w14:solidFill>
              <w14:schemeClr w14:val="tx1"/>
            </w14:solidFill>
          </w14:textFill>
        </w:rPr>
        <w:t>加强生态系统保护与修复</w:t>
      </w:r>
      <w:bookmarkEnd w:id="71"/>
    </w:p>
    <w:p w14:paraId="5B7B1959">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i w:val="0"/>
          <w:iCs w:val="0"/>
          <w:caps w:val="0"/>
          <w:color w:val="000000" w:themeColor="text1"/>
          <w:spacing w:val="0"/>
          <w:sz w:val="32"/>
          <w:szCs w:val="32"/>
          <w:highlight w:val="none"/>
          <w14:textFill>
            <w14:solidFill>
              <w14:schemeClr w14:val="tx1"/>
            </w14:solidFill>
          </w14:textFill>
          <w:woUserID w:val="3"/>
        </w:rPr>
      </w:pP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坚定不移走生态优先、绿色发展之路，坚持山水林田湖草沙一体化保护和系统治理，全面提升生态系统质量和稳定性，守护好宝贵的原生态风貌。</w:t>
      </w:r>
    </w:p>
    <w:p w14:paraId="18D43A74">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i w:val="0"/>
          <w:iCs w:val="0"/>
          <w:caps w:val="0"/>
          <w:color w:val="000000" w:themeColor="text1"/>
          <w:spacing w:val="0"/>
          <w:sz w:val="32"/>
          <w:szCs w:val="32"/>
          <w:highlight w:val="none"/>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第一节 </w:t>
      </w:r>
      <w:r>
        <w:rPr>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系统构建生态安全格局。</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严格落实生态保护红线、永久基本农田、城镇开发边界三条控制线，确保生态空间面积不减少、功能不降低、性质不改变。以自然保护地、重要水源涵养区、水土保持重点区域等为重点，科学</w:t>
      </w:r>
      <w:r>
        <w:rPr>
          <w:rFonts w:hint="eastAsia" w:ascii="仿宋" w:hAnsi="仿宋" w:eastAsia="仿宋" w:cs="仿宋"/>
          <w:i w:val="0"/>
          <w:iCs w:val="0"/>
          <w:caps w:val="0"/>
          <w:color w:val="000000" w:themeColor="text1"/>
          <w:spacing w:val="0"/>
          <w:sz w:val="32"/>
          <w:szCs w:val="32"/>
          <w:highlight w:val="none"/>
          <w:shd w:val="clear"/>
          <w:lang w:val="en-US" w:eastAsia="zh-CN"/>
          <w14:textFill>
            <w14:solidFill>
              <w14:schemeClr w14:val="tx1"/>
            </w14:solidFill>
          </w14:textFill>
          <w:woUserID w:val="3"/>
        </w:rPr>
        <w:t>推进</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生态保护与修复工程。</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加强森林生态系统保护</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，持续推进国土绿化行动，科学开展植树造林，提升森林质量和碳汇能力。</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强化湿地生态系统保护修复</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，通过植被恢复、水系连通等措施，逐步恢复湿地生态功能。</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推进城市生态功能修复</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，结合城市更新建设，采取拆违建绿、留白增绿、立体绿化等方式，织补城市绿地系统，构建连通城乡的生态廊道。</w:t>
      </w:r>
    </w:p>
    <w:p w14:paraId="6D581DAC">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第二节 </w:t>
      </w:r>
      <w:r>
        <w:rPr>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科学推进生物多样性保护。</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开展全区生物多样性本底调查和常态化监测评估，摸清家底，建立物种资源档案。强化对珍稀濒危野生动植物及其栖息地的保护，严厉打击非法捕猎、采集、交易野生动植物及其制品的行为。</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强化外来入侵物种源头防控，加强对松材线虫、美国白蛾等外来入侵物种安全管理和转基因生物技术的环境安全监管。坚决打击非法捕捉、交易野生动植物，保持并恢复野生动植物物种和种群平衡。</w:t>
      </w:r>
    </w:p>
    <w:p w14:paraId="3C7DB03F">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i w:val="0"/>
          <w:iCs w:val="0"/>
          <w:caps w:val="0"/>
          <w:color w:val="000000" w:themeColor="text1"/>
          <w:spacing w:val="0"/>
          <w:sz w:val="32"/>
          <w:szCs w:val="32"/>
          <w:highlight w:val="none"/>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第三节</w:t>
      </w:r>
      <w:r>
        <w:rPr>
          <w:rFonts w:hint="eastAsia" w:ascii="仿宋" w:hAnsi="仿宋" w:eastAsia="仿宋" w:cs="仿宋"/>
          <w:b w:val="0"/>
          <w:bCs w:val="0"/>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 </w:t>
      </w:r>
      <w:r>
        <w:rPr>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创新生态价值实现机制。</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坚持政府主导、企业和社会各界参与，探索多元化生态保护补偿路径。在严格保护的前提下，</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合理利用生态资源</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因地制宜发展林下经济、生态旅游、自然教育、康养休闲等绿色产业，使守护绿水青山获得合理回报。支持社会资本通过自主投资、与政府合作、公益参与等模式，参与历史遗留矿山生态修复、水环境治理等生态工程。探索建立生态产品价值核算体系，拓展“绿水青山”转化为“金山银山”的通道，让良好生态环境成为人民幸福生活的增长点和区域可持续发展的支撑点。</w:t>
      </w:r>
    </w:p>
    <w:p w14:paraId="27D1E32C">
      <w:pPr>
        <w:pStyle w:val="3"/>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14:textFill>
            <w14:solidFill>
              <w14:schemeClr w14:val="tx1"/>
            </w14:solidFill>
          </w14:textFill>
        </w:rPr>
      </w:pPr>
      <w:bookmarkStart w:id="72" w:name="_Toc16997"/>
      <w:r>
        <w:rPr>
          <w:rFonts w:hint="eastAsia" w:ascii="楷体" w:hAnsi="楷体" w:eastAsia="楷体" w:cs="楷体"/>
          <w:color w:val="000000" w:themeColor="text1"/>
          <w:highlight w:val="none"/>
          <w:lang w:eastAsia="zh"/>
          <w14:textFill>
            <w14:solidFill>
              <w14:schemeClr w14:val="tx1"/>
            </w14:solidFill>
          </w14:textFill>
        </w:rPr>
        <w:t xml:space="preserve">第五十三章 </w:t>
      </w:r>
      <w:r>
        <w:rPr>
          <w:rFonts w:hint="eastAsia" w:ascii="楷体" w:hAnsi="楷体" w:eastAsia="楷体" w:cs="楷体"/>
          <w:color w:val="000000" w:themeColor="text1"/>
          <w:highlight w:val="none"/>
          <w14:textFill>
            <w14:solidFill>
              <w14:schemeClr w14:val="tx1"/>
            </w14:solidFill>
          </w14:textFill>
        </w:rPr>
        <w:t>积极稳妥推进碳达峰碳中和</w:t>
      </w:r>
      <w:bookmarkEnd w:id="72"/>
    </w:p>
    <w:p w14:paraId="59408325">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立足区域能源结构和产业实际，坚持系统观念、先立后破、稳中求进，有计划分步骤实施碳达峰行动，协同推进降碳、减污、扩绿、增长，加快形成节约资源和保护环境的产业结构、生产方式、生活方式、空间格局。</w:t>
      </w:r>
    </w:p>
    <w:p w14:paraId="732068E0">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第一节 </w:t>
      </w:r>
      <w:r>
        <w:rPr>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构建清晰有力的碳排放双控体系。</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科学合理确定“十五五”时期全区及重点行业、重点企业的碳排放总量和强度控制目标，并分解落实。</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坚决遏制高耗能、高排放、低水平项目盲目发展</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，对新建、改建、扩建项目实行严格的节能审查和环境影响评价，强化能耗、碳排放指标源头管控。探索建设零碳</w:t>
      </w:r>
      <w:r>
        <w:rPr>
          <w:rFonts w:hint="eastAsia" w:ascii="仿宋" w:hAnsi="仿宋" w:eastAsia="仿宋" w:cs="仿宋"/>
          <w:i w:val="0"/>
          <w:iCs w:val="0"/>
          <w:caps w:val="0"/>
          <w:color w:val="000000" w:themeColor="text1"/>
          <w:spacing w:val="0"/>
          <w:sz w:val="32"/>
          <w:szCs w:val="32"/>
          <w:highlight w:val="none"/>
          <w:shd w:val="clear"/>
          <w:lang w:val="en-US" w:eastAsia="zh-CN"/>
          <w14:textFill>
            <w14:solidFill>
              <w14:schemeClr w14:val="tx1"/>
            </w14:solidFill>
          </w14:textFill>
          <w:woUserID w:val="3"/>
        </w:rPr>
        <w:t>社区</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和</w:t>
      </w:r>
      <w:r>
        <w:rPr>
          <w:rFonts w:hint="eastAsia" w:ascii="仿宋" w:hAnsi="仿宋" w:eastAsia="仿宋" w:cs="仿宋"/>
          <w:i w:val="0"/>
          <w:iCs w:val="0"/>
          <w:caps w:val="0"/>
          <w:color w:val="000000" w:themeColor="text1"/>
          <w:spacing w:val="0"/>
          <w:sz w:val="32"/>
          <w:szCs w:val="32"/>
          <w:highlight w:val="none"/>
          <w:shd w:val="clear"/>
          <w:lang w:val="en-US" w:eastAsia="zh-CN"/>
          <w14:textFill>
            <w14:solidFill>
              <w14:schemeClr w14:val="tx1"/>
            </w14:solidFill>
          </w14:textFill>
          <w:woUserID w:val="3"/>
        </w:rPr>
        <w:t>工厂</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，支持循环化改造和生态化升级</w:t>
      </w:r>
      <w:r>
        <w:rPr>
          <w:rFonts w:hint="eastAsia" w:ascii="仿宋" w:hAnsi="仿宋" w:eastAsia="仿宋" w:cs="仿宋"/>
          <w:i w:val="0"/>
          <w:iCs w:val="0"/>
          <w:caps w:val="0"/>
          <w:color w:val="000000" w:themeColor="text1"/>
          <w:spacing w:val="0"/>
          <w:sz w:val="32"/>
          <w:szCs w:val="32"/>
          <w:highlight w:val="none"/>
          <w:shd w:val="clear"/>
          <w:lang w:eastAsia="zh-CN"/>
          <w14:textFill>
            <w14:solidFill>
              <w14:schemeClr w14:val="tx1"/>
            </w14:solidFill>
          </w14:textFill>
          <w:woUserID w:val="3"/>
        </w:rPr>
        <w:t>。</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深入推动重点领域节能降碳</w:t>
      </w:r>
      <w:r>
        <w:rPr>
          <w:rFonts w:hint="eastAsia" w:ascii="仿宋" w:hAnsi="仿宋" w:eastAsia="仿宋" w:cs="仿宋"/>
          <w:b w:val="0"/>
          <w:bCs w:val="0"/>
          <w:i w:val="0"/>
          <w:iCs w:val="0"/>
          <w:caps w:val="0"/>
          <w:color w:val="000000" w:themeColor="text1"/>
          <w:spacing w:val="0"/>
          <w:sz w:val="32"/>
          <w:szCs w:val="32"/>
          <w:highlight w:val="none"/>
          <w:shd w:val="clear"/>
          <w:lang w:eastAsia="zh"/>
          <w14:textFill>
            <w14:solidFill>
              <w14:schemeClr w14:val="tx1"/>
            </w14:solidFill>
          </w14:textFill>
          <w:woUserID w:val="3"/>
        </w:rPr>
        <w:t>，</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在工业领域，实施节能降碳改造升级，推广高效节能技术装备，促进工业余热、余压、余气回收利用。在城乡建设领域，大力发展绿色建筑和装配式建筑，推进既有建筑节能改造，推广可再生能源建筑应用。在交通运输领域，优化运输结构，发展多式联运，加快物流配送车辆电动化替代。在公共机构领域，带头践行绿色低碳运营，发挥示范引领作用。</w:t>
      </w:r>
    </w:p>
    <w:p w14:paraId="1099FF7F">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i w:val="0"/>
          <w:iCs w:val="0"/>
          <w:caps w:val="0"/>
          <w:color w:val="000000" w:themeColor="text1"/>
          <w:spacing w:val="0"/>
          <w:sz w:val="32"/>
          <w:szCs w:val="32"/>
          <w:highlight w:val="none"/>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第二节 </w:t>
      </w:r>
      <w:r>
        <w:rPr>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大力发展绿色低碳能源和产业。</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推动能源结构优化</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，坚持“光、水、氢、储”多能互补，因地制宜布局分布式光伏，积极探索生物质能、地热能等清洁能源利用，有序推动煤炭消费达峰并逐步减量替代。</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培育绿色低碳产业</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，支持企业开展绿色设计、清洁生产，建设“零碳工厂”“绿色供应链”。大力发展循环经济，促进工业固废、再生资源等综合利用。</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强化科技创新支撑</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，鼓励企业联合高校、科研院所开展低碳、零碳、负碳关键技术研发和示范应用。</w:t>
      </w:r>
    </w:p>
    <w:p w14:paraId="57DD432E">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i w:val="0"/>
          <w:iCs w:val="0"/>
          <w:caps w:val="0"/>
          <w:color w:val="000000" w:themeColor="text1"/>
          <w:spacing w:val="0"/>
          <w:sz w:val="32"/>
          <w:szCs w:val="32"/>
          <w:highlight w:val="none"/>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第三节 </w:t>
      </w:r>
      <w:r>
        <w:rPr>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健全完善政策管理和市场机制。</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稳步实施</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碳考核评价</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制度，将碳排放强度降低目标完成情况纳入高质量发展综合绩效评价。探索开展</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重点行业碳管控</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，引导企业建立</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内部碳管理体系</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，对重大项目开展</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碳评价</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。推动建立重点产品全生命周期</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碳足迹核算</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与标识制度。积极运用财税、金融、价格等政策工具，引导更多资金投向绿色低碳领域，为碳达峰碳中和目标实现提供坚实支撑。</w:t>
      </w:r>
    </w:p>
    <w:p w14:paraId="703D1295">
      <w:pPr>
        <w:pStyle w:val="3"/>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14:textFill>
            <w14:solidFill>
              <w14:schemeClr w14:val="tx1"/>
            </w14:solidFill>
          </w14:textFill>
        </w:rPr>
      </w:pPr>
      <w:bookmarkStart w:id="73" w:name="_Toc1634"/>
      <w:r>
        <w:rPr>
          <w:rFonts w:hint="eastAsia" w:ascii="楷体" w:hAnsi="楷体" w:eastAsia="楷体" w:cs="楷体"/>
          <w:color w:val="000000" w:themeColor="text1"/>
          <w:highlight w:val="none"/>
          <w:lang w:eastAsia="zh"/>
          <w14:textFill>
            <w14:solidFill>
              <w14:schemeClr w14:val="tx1"/>
            </w14:solidFill>
          </w14:textFill>
        </w:rPr>
        <w:t xml:space="preserve">第五十四章 </w:t>
      </w:r>
      <w:r>
        <w:rPr>
          <w:rFonts w:hint="eastAsia" w:ascii="楷体" w:hAnsi="楷体" w:eastAsia="楷体" w:cs="楷体"/>
          <w:color w:val="000000" w:themeColor="text1"/>
          <w:highlight w:val="none"/>
          <w14:textFill>
            <w14:solidFill>
              <w14:schemeClr w14:val="tx1"/>
            </w14:solidFill>
          </w14:textFill>
        </w:rPr>
        <w:t>加快形成绿色生产生活方式</w:t>
      </w:r>
      <w:bookmarkEnd w:id="73"/>
    </w:p>
    <w:p w14:paraId="6D12C221">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把推动形成绿色生产生活方式作为实现高质量发展的重要着力点，坚持政府和市场两手发力，强化法治保障和政策激励，引导全社会践行简约适度、绿色低碳、文明健康的生活理念和消费模式，共建共享绿色家园。</w:t>
      </w:r>
    </w:p>
    <w:p w14:paraId="4CDC9C73">
      <w:pPr>
        <w:pStyle w:val="15"/>
        <w:keepNext w:val="0"/>
        <w:keepLines w:val="0"/>
        <w:pageBreakBefore w:val="0"/>
        <w:widowControl w:val="0"/>
        <w:suppressLineNumbers w:val="0"/>
        <w:shd w:val="clear" w:fill="FFFFFF"/>
        <w:kinsoku/>
        <w:wordWrap/>
        <w:topLinePunct w:val="0"/>
        <w:autoSpaceDN/>
        <w:bidi w:val="0"/>
        <w:snapToGrid w:val="0"/>
        <w:spacing w:before="0" w:beforeAutospacing="0" w:after="0" w:afterAutospacing="0" w:line="600" w:lineRule="exact"/>
        <w:ind w:left="0" w:right="0" w:firstLine="0"/>
        <w:jc w:val="both"/>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第一节 </w:t>
      </w:r>
      <w:r>
        <w:rPr>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构建绿色生产体系</w:t>
      </w:r>
      <w:r>
        <w:rPr>
          <w:rFonts w:hint="eastAsia" w:ascii="仿宋" w:hAnsi="仿宋" w:eastAsia="仿宋" w:cs="仿宋"/>
          <w:b/>
          <w:bCs/>
          <w:i w:val="0"/>
          <w:iCs w:val="0"/>
          <w:caps w:val="0"/>
          <w:color w:val="000000" w:themeColor="text1"/>
          <w:spacing w:val="0"/>
          <w:sz w:val="32"/>
          <w:szCs w:val="32"/>
          <w:highlight w:val="none"/>
          <w:shd w:val="clear"/>
          <w:lang w:eastAsia="zh"/>
          <w14:textFill>
            <w14:solidFill>
              <w14:schemeClr w14:val="tx1"/>
            </w14:solidFill>
          </w14:textFill>
          <w:woUserID w:val="3"/>
        </w:rPr>
        <w:t>。</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强化规划引领和空间约束</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，将生态环境管控要求深度融入国土空间规划和产业发展布局，从源头优化产业结构和空间结构。</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加快产业绿色转型升级</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，利用高新技术和先进适用技术改造提升传统产业，大力培育节能环保、清洁能源、资源循环利用等绿色新兴产业，构建科技含量高、资源消耗低、环境污染少的绿色低碳循环发展经济体系。</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推进基础设施绿色升级</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，在交通、能源、水利、信息等基础设施建设中全面贯彻绿色理念，推广绿色建材和绿色施工。</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建立健全绿色供应链管理体系，引导龙头企业带动上下游企业协同降碳。</w:t>
      </w:r>
    </w:p>
    <w:p w14:paraId="60EA8628">
      <w:pPr>
        <w:pStyle w:val="15"/>
        <w:keepNext w:val="0"/>
        <w:keepLines w:val="0"/>
        <w:pageBreakBefore w:val="0"/>
        <w:widowControl w:val="0"/>
        <w:shd w:val="clear" w:fill="FFFFFF"/>
        <w:kinsoku/>
        <w:wordWrap/>
        <w:topLinePunct w:val="0"/>
        <w:autoSpaceDN/>
        <w:bidi w:val="0"/>
        <w:snapToGrid w:val="0"/>
        <w:spacing w:before="0" w:beforeAutospacing="0" w:afterAutospacing="0" w:line="600" w:lineRule="exact"/>
        <w:ind w:firstLine="0"/>
        <w:jc w:val="both"/>
        <w:rPr>
          <w:rFonts w:hint="eastAsia" w:ascii="仿宋" w:hAnsi="仿宋" w:eastAsia="仿宋" w:cs="仿宋"/>
          <w:b w:val="0"/>
          <w:color w:val="000000" w:themeColor="text1"/>
          <w:sz w:val="32"/>
          <w:szCs w:val="32"/>
          <w:highlight w:val="none"/>
          <w14:textFill>
            <w14:solidFill>
              <w14:schemeClr w14:val="tx1"/>
            </w14:solidFill>
          </w14:textFill>
          <w:woUserID w:val="3"/>
        </w:rPr>
      </w:pPr>
      <w:r>
        <w:rPr>
          <w:rFonts w:hint="eastAsia" w:ascii="仿宋" w:hAnsi="仿宋" w:eastAsia="仿宋" w:cs="仿宋"/>
          <w:b/>
          <w:bCs/>
          <w:i w:val="0"/>
          <w:iCs w:val="0"/>
          <w:caps w:val="0"/>
          <w:color w:val="000000" w:themeColor="text1"/>
          <w:spacing w:val="0"/>
          <w:sz w:val="32"/>
          <w:szCs w:val="32"/>
          <w:highlight w:val="none"/>
          <w:shd w:val="clear"/>
          <w:lang w:val="en-US" w:eastAsia="zh-CN"/>
          <w14:textFill>
            <w14:solidFill>
              <w14:schemeClr w14:val="tx1"/>
            </w14:solidFill>
          </w14:textFill>
          <w:woUserID w:val="3"/>
        </w:rPr>
        <w:t xml:space="preserve">第二节 </w:t>
      </w:r>
      <w:r>
        <w:rPr>
          <w:rFonts w:hint="eastAsia" w:ascii="仿宋" w:hAnsi="仿宋" w:eastAsia="仿宋" w:cs="仿宋"/>
          <w:b/>
          <w:bCs/>
          <w:i w:val="0"/>
          <w:iCs w:val="0"/>
          <w:caps w:val="0"/>
          <w:color w:val="000000" w:themeColor="text1"/>
          <w:spacing w:val="0"/>
          <w:sz w:val="32"/>
          <w:szCs w:val="32"/>
          <w:highlight w:val="none"/>
          <w:shd w:val="clear"/>
          <w14:textFill>
            <w14:solidFill>
              <w14:schemeClr w14:val="tx1"/>
            </w14:solidFill>
          </w14:textFill>
          <w:woUserID w:val="3"/>
        </w:rPr>
        <w:t>倡导绿色生活方式</w:t>
      </w:r>
      <w:r>
        <w:rPr>
          <w:rFonts w:hint="eastAsia" w:ascii="仿宋" w:hAnsi="仿宋" w:eastAsia="仿宋" w:cs="仿宋"/>
          <w:b/>
          <w:bCs/>
          <w:i w:val="0"/>
          <w:iCs w:val="0"/>
          <w:caps w:val="0"/>
          <w:color w:val="000000" w:themeColor="text1"/>
          <w:spacing w:val="0"/>
          <w:sz w:val="32"/>
          <w:szCs w:val="32"/>
          <w:highlight w:val="none"/>
          <w:shd w:val="clear"/>
          <w:lang w:eastAsia="zh"/>
          <w14:textFill>
            <w14:solidFill>
              <w14:schemeClr w14:val="tx1"/>
            </w14:solidFill>
          </w14:textFill>
          <w:woUserID w:val="3"/>
        </w:rPr>
        <w:t>。</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完善绿色消费激励引导机制</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，落实政府绿色采购政策，鼓励企业提供更多绿色产品和服务，畅通绿色产品销售渠道。</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全面推进生活垃圾分类和资源化利用</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，建立健全覆盖城乡的分类投放、收集、运输、处理体系，提高资源回收利用率。</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大力推广绿色出行</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，加强新能源汽车充电桩、换电站等配套设施建设。</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积极倡导绿色居住</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，鼓励公众节约用水用电，减少使用一次性塑料制品，践行“光盘行动”。</w:t>
      </w:r>
      <w:r>
        <w:rPr>
          <w:rFonts w:hint="eastAsia" w:ascii="仿宋" w:hAnsi="仿宋" w:eastAsia="仿宋" w:cs="仿宋"/>
          <w:b w:val="0"/>
          <w:bCs w:val="0"/>
          <w:i w:val="0"/>
          <w:iCs w:val="0"/>
          <w:caps w:val="0"/>
          <w:color w:val="000000" w:themeColor="text1"/>
          <w:spacing w:val="0"/>
          <w:sz w:val="32"/>
          <w:szCs w:val="32"/>
          <w:highlight w:val="none"/>
          <w:shd w:val="clear"/>
          <w14:textFill>
            <w14:solidFill>
              <w14:schemeClr w14:val="tx1"/>
            </w14:solidFill>
          </w14:textFill>
          <w:woUserID w:val="3"/>
        </w:rPr>
        <w:t>创新宣传教育和公众参与形式</w:t>
      </w:r>
      <w:r>
        <w:rPr>
          <w:rFonts w:hint="eastAsia" w:ascii="仿宋" w:hAnsi="仿宋" w:eastAsia="仿宋" w:cs="仿宋"/>
          <w:i w:val="0"/>
          <w:iCs w:val="0"/>
          <w:caps w:val="0"/>
          <w:color w:val="000000" w:themeColor="text1"/>
          <w:spacing w:val="0"/>
          <w:sz w:val="32"/>
          <w:szCs w:val="32"/>
          <w:highlight w:val="none"/>
          <w:shd w:val="clear"/>
          <w14:textFill>
            <w14:solidFill>
              <w14:schemeClr w14:val="tx1"/>
            </w14:solidFill>
          </w14:textFill>
          <w:woUserID w:val="3"/>
        </w:rPr>
        <w:t>，利用各类媒体平台和新时代文明实践中心（所、站），广泛开展节能宣传周、全国低碳日等主题宣传活动，普及碳达峰碳中和知识，讲好东风绿色故事，引导全社会树立生态文明意识，推动形成人人、事事、时时、处处崇尚生态文明的社会新风尚。</w:t>
      </w:r>
    </w:p>
    <w:p w14:paraId="2EB4D0F1">
      <w:pPr>
        <w:pStyle w:val="2"/>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lang w:eastAsia="zh-CN"/>
          <w14:textFill>
            <w14:solidFill>
              <w14:schemeClr w14:val="tx1"/>
            </w14:solidFill>
          </w14:textFill>
        </w:rPr>
      </w:pPr>
      <w:bookmarkStart w:id="74" w:name="_Toc6605"/>
      <w:r>
        <w:rPr>
          <w:rFonts w:hint="default" w:ascii="Times New Roman" w:hAnsi="Times New Roman" w:cs="Times New Roman"/>
          <w:color w:val="000000" w:themeColor="text1"/>
          <w:highlight w:val="none"/>
          <w:lang w:val="en-US" w:eastAsia="zh-CN"/>
          <w14:textFill>
            <w14:solidFill>
              <w14:schemeClr w14:val="tx1"/>
            </w14:solidFill>
          </w14:textFill>
        </w:rPr>
        <w:t xml:space="preserve">第十四篇 </w:t>
      </w:r>
      <w:r>
        <w:rPr>
          <w:rFonts w:hint="default" w:ascii="Times New Roman" w:hAnsi="Times New Roman" w:cs="Times New Roman"/>
          <w:color w:val="000000" w:themeColor="text1"/>
          <w:highlight w:val="none"/>
          <w14:textFill>
            <w14:solidFill>
              <w14:schemeClr w14:val="tx1"/>
            </w14:solidFill>
          </w14:textFill>
        </w:rPr>
        <w:t>推进安全体系和安全能力现代化，建设更高水平平安</w:t>
      </w:r>
      <w:r>
        <w:rPr>
          <w:rFonts w:hint="default" w:ascii="Times New Roman" w:hAnsi="Times New Roman" w:cs="Times New Roman"/>
          <w:color w:val="000000" w:themeColor="text1"/>
          <w:highlight w:val="none"/>
          <w:lang w:val="en-US" w:eastAsia="zh-CN"/>
          <w14:textFill>
            <w14:solidFill>
              <w14:schemeClr w14:val="tx1"/>
            </w14:solidFill>
          </w14:textFill>
        </w:rPr>
        <w:t>东风区</w:t>
      </w:r>
      <w:bookmarkEnd w:id="74"/>
    </w:p>
    <w:p w14:paraId="2E09B86B">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kern w:val="44"/>
          <w:sz w:val="32"/>
          <w:szCs w:val="32"/>
          <w:highlight w:val="none"/>
          <w14:textFill>
            <w14:solidFill>
              <w14:schemeClr w14:val="tx1"/>
            </w14:solidFill>
          </w14:textFill>
          <w:woUserID w:val="1"/>
        </w:rPr>
      </w:pPr>
      <w:r>
        <w:rPr>
          <w:rFonts w:hint="eastAsia" w:ascii="仿宋" w:hAnsi="仿宋" w:eastAsia="仿宋" w:cs="仿宋"/>
          <w:color w:val="000000" w:themeColor="text1"/>
          <w:highlight w:val="none"/>
          <w14:textFill>
            <w14:solidFill>
              <w14:schemeClr w14:val="tx1"/>
            </w14:solidFill>
          </w14:textFill>
        </w:rPr>
        <w:t>坚定不移贯彻总体国家安全观，牢牢把握在维护国家“五大安全”中的重要使命，扎实推进</w:t>
      </w:r>
      <w:r>
        <w:rPr>
          <w:rFonts w:hint="eastAsia" w:ascii="仿宋" w:hAnsi="仿宋" w:eastAsia="仿宋" w:cs="仿宋"/>
          <w:color w:val="000000" w:themeColor="text1"/>
          <w:highlight w:val="none"/>
          <w:lang w:val="en-US" w:eastAsia="zh-CN"/>
          <w14:textFill>
            <w14:solidFill>
              <w14:schemeClr w14:val="tx1"/>
            </w14:solidFill>
          </w14:textFill>
        </w:rPr>
        <w:t>区</w:t>
      </w:r>
      <w:r>
        <w:rPr>
          <w:rFonts w:hint="eastAsia" w:ascii="仿宋" w:hAnsi="仿宋" w:eastAsia="仿宋" w:cs="仿宋"/>
          <w:color w:val="000000" w:themeColor="text1"/>
          <w:highlight w:val="none"/>
          <w14:textFill>
            <w14:solidFill>
              <w14:schemeClr w14:val="tx1"/>
            </w14:solidFill>
          </w14:textFill>
        </w:rPr>
        <w:t>域社会治理现代化，以高水平安全保障高质量发展。</w:t>
      </w:r>
    </w:p>
    <w:p w14:paraId="44E45831">
      <w:pPr>
        <w:pStyle w:val="2"/>
        <w:keepNext w:val="0"/>
        <w:keepLines w:val="0"/>
        <w:pageBreakBefore w:val="0"/>
        <w:widowControl w:val="0"/>
        <w:suppressLineNumbers w:val="0"/>
        <w:kinsoku/>
        <w:wordWrap/>
        <w:topLinePunct w:val="0"/>
        <w:autoSpaceDN/>
        <w:bidi w:val="0"/>
        <w:snapToGrid w:val="0"/>
        <w:spacing w:beforeAutospacing="0" w:afterAutospacing="0" w:line="600" w:lineRule="exact"/>
        <w:jc w:val="center"/>
        <w:rPr>
          <w:rFonts w:hint="eastAsia" w:ascii="楷体" w:hAnsi="楷体" w:eastAsia="楷体" w:cs="楷体"/>
          <w:b/>
          <w:bCs/>
          <w:color w:val="000000" w:themeColor="text1"/>
          <w:kern w:val="2"/>
          <w:sz w:val="32"/>
          <w:szCs w:val="32"/>
          <w:highlight w:val="none"/>
          <w:lang w:val="en-US" w:eastAsia="zh-CN"/>
          <w14:textFill>
            <w14:solidFill>
              <w14:schemeClr w14:val="tx1"/>
            </w14:solidFill>
          </w14:textFill>
          <w:woUserID w:val="1"/>
        </w:rPr>
      </w:pPr>
      <w:bookmarkStart w:id="75" w:name="_Toc20761"/>
      <w:r>
        <w:rPr>
          <w:rFonts w:hint="eastAsia" w:ascii="楷体" w:hAnsi="楷体" w:eastAsia="楷体" w:cs="楷体"/>
          <w:b/>
          <w:bCs/>
          <w:color w:val="000000" w:themeColor="text1"/>
          <w:kern w:val="2"/>
          <w:sz w:val="32"/>
          <w:szCs w:val="32"/>
          <w:highlight w:val="none"/>
          <w:lang w:val="en-US" w:eastAsia="zh-CN"/>
          <w14:textFill>
            <w14:solidFill>
              <w14:schemeClr w14:val="tx1"/>
            </w14:solidFill>
          </w14:textFill>
          <w:woUserID w:val="1"/>
        </w:rPr>
        <w:t>第五十五章 增强维护国家安全能力</w:t>
      </w:r>
      <w:bookmarkEnd w:id="75"/>
    </w:p>
    <w:p w14:paraId="5DC4FFE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统筹发展和安全，把维护国家安全贯穿于经济社会发展各方面全过程，着力防范化解重大风险，建设更高水平的平安东风区，以新安全格局保障新发展格局。</w:t>
      </w:r>
    </w:p>
    <w:p w14:paraId="64D0DAA1">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全面贯彻落实总体国家安全观。</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统筹维护国土、经济、文化、社会、科技、网络、意识形态等各领域安全，坚决维护国家主权、安全和发展利益。加强关键信息基础设施安全防护和网络安全保障能力建设，切实维护意识形态安全。主动适应新兴领域安全形势变化，前瞻布局和强化数据安全、人工智能安全、生物安全等领域的风险防范与治理能力建设。深入开展全民国家安全宣传教育活动，创新宣传形式，增强全民国家安全意识和素养，巩固壮大维护国家安全的社会基础，构建坚实可靠的国家安全人民防线。</w:t>
      </w:r>
    </w:p>
    <w:p w14:paraId="6D321A40">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防范化解重大风险。</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聚焦重点领域风险隐患，建立健全风险研判、评估决策、防控协同和责任落实机制。稳妥有序化解房地产领域风险，扎实做好保民生、保稳定工作，促进房地产市场平稳健康发展。健全规范、透明、可持续的地方政府债务管理机制，坚决遏制增量、稳妥化解存量，牢牢守住不发生区域性系统性债务风险的底线。强化对中小金融机构的审慎监管和风险早期纠正，完善风险处置机制，维护区域金融稳定。常态化开展经济、社会、安全生产等领域风险排查整治，提升突发公共事件应急处置能力，以高水平安全保障高质量发展，确保东风区经济社会大局和谐稳定。</w:t>
      </w:r>
    </w:p>
    <w:p w14:paraId="40614DA4">
      <w:pPr>
        <w:pStyle w:val="2"/>
        <w:keepNext w:val="0"/>
        <w:keepLines w:val="0"/>
        <w:pageBreakBefore w:val="0"/>
        <w:widowControl w:val="0"/>
        <w:suppressLineNumbers w:val="0"/>
        <w:kinsoku/>
        <w:wordWrap/>
        <w:topLinePunct w:val="0"/>
        <w:autoSpaceDN/>
        <w:bidi w:val="0"/>
        <w:snapToGrid w:val="0"/>
        <w:spacing w:beforeAutospacing="0" w:afterAutospacing="0" w:line="600" w:lineRule="exact"/>
        <w:jc w:val="center"/>
        <w:rPr>
          <w:rFonts w:hint="eastAsia" w:ascii="楷体" w:hAnsi="楷体" w:eastAsia="楷体" w:cs="楷体"/>
          <w:b/>
          <w:bCs/>
          <w:color w:val="000000" w:themeColor="text1"/>
          <w:kern w:val="2"/>
          <w:sz w:val="32"/>
          <w:szCs w:val="32"/>
          <w:highlight w:val="none"/>
          <w:lang w:val="en-US" w:eastAsia="zh-CN"/>
          <w14:textFill>
            <w14:solidFill>
              <w14:schemeClr w14:val="tx1"/>
            </w14:solidFill>
          </w14:textFill>
          <w:woUserID w:val="1"/>
        </w:rPr>
      </w:pPr>
      <w:bookmarkStart w:id="76" w:name="_Toc26487"/>
      <w:r>
        <w:rPr>
          <w:rFonts w:hint="eastAsia" w:ascii="楷体" w:hAnsi="楷体" w:eastAsia="楷体" w:cs="楷体"/>
          <w:b/>
          <w:bCs/>
          <w:color w:val="000000" w:themeColor="text1"/>
          <w:kern w:val="2"/>
          <w:sz w:val="32"/>
          <w:szCs w:val="32"/>
          <w:highlight w:val="none"/>
          <w:lang w:val="en-US" w:eastAsia="zh-CN"/>
          <w14:textFill>
            <w14:solidFill>
              <w14:schemeClr w14:val="tx1"/>
            </w14:solidFill>
          </w14:textFill>
          <w:woUserID w:val="1"/>
        </w:rPr>
        <w:t>第五十六章 服务国防和军队现代化建设</w:t>
      </w:r>
      <w:bookmarkEnd w:id="76"/>
    </w:p>
    <w:p w14:paraId="2CBD6F83">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坚决贯彻习近平强军思想，坚持军地合力、军民同心，把服务国防和军队建设作为重要政治责任，扎实做好拥军优属工作，持续巩固坚如磐石的军政军民关系，为实现党在新时代的强军目标贡献东风区力量。</w:t>
      </w:r>
    </w:p>
    <w:p w14:paraId="49B320F7">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强化国防军队建设保障</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坚持平战结合、军民融合发展战略，深度推进一体化国家战略体系和能力建设。健全军地对接与需求提报机制，推动交通、信息、能源等重大基础设施建设贯彻国防要求，加强战略投送通道和部队作战保障能力建设，全力支持驻区部队现代化发展。完善涉军议事协调与政策衔接机制，促进军地规划对接、资源共享与协同会商。优化国防动员体系，加强后备力量与民兵队伍建设，完善民兵训练基地共建共享机制，提升人民防空设施平战结合运用效能。深入开展新时代全民国防教育，营造关心国防、热爱国防、建设国防、保卫国防的浓厚氛围。</w:t>
      </w:r>
    </w:p>
    <w:p w14:paraId="240941E0">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加快发展军民融合产业。</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以科技创新为驱动，强化军地产学研用协同，推动人工智能、新材料、高端装备等领域新质生产力与新质战斗力高效融合、双向拉动。布局和培育一批军民融合特色产业与创新平台。完善双拥共建工作机制，全面落实军人军属、退役军人和其他优抚对象优待政策，依法保障军人军属合法权益。大力解决部队官兵“三后”问题，持续开展形式多样的拥军优属活动，不断巩固和发展“同呼吸、共命运、心连心”的军政军民团结大好局面。</w:t>
      </w:r>
    </w:p>
    <w:p w14:paraId="082EA663">
      <w:pPr>
        <w:pStyle w:val="2"/>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right="0"/>
        <w:jc w:val="center"/>
        <w:rPr>
          <w:rFonts w:hint="eastAsia" w:ascii="楷体" w:hAnsi="楷体" w:eastAsia="楷体" w:cs="楷体"/>
          <w:b/>
          <w:bCs/>
          <w:color w:val="000000" w:themeColor="text1"/>
          <w:kern w:val="2"/>
          <w:sz w:val="32"/>
          <w:szCs w:val="32"/>
          <w:highlight w:val="none"/>
          <w:lang w:val="en-US" w:eastAsia="zh-CN" w:bidi="ar"/>
          <w14:textFill>
            <w14:solidFill>
              <w14:schemeClr w14:val="tx1"/>
            </w14:solidFill>
          </w14:textFill>
          <w:woUserID w:val="1"/>
        </w:rPr>
      </w:pPr>
      <w:bookmarkStart w:id="77" w:name="_Toc31947"/>
      <w:r>
        <w:rPr>
          <w:rFonts w:hint="eastAsia" w:ascii="楷体" w:hAnsi="楷体" w:eastAsia="楷体" w:cs="楷体"/>
          <w:b/>
          <w:bCs/>
          <w:color w:val="000000" w:themeColor="text1"/>
          <w:kern w:val="2"/>
          <w:sz w:val="32"/>
          <w:szCs w:val="32"/>
          <w:highlight w:val="none"/>
          <w:lang w:val="en-US" w:eastAsia="zh-CN" w:bidi="ar"/>
          <w14:textFill>
            <w14:solidFill>
              <w14:schemeClr w14:val="tx1"/>
            </w14:solidFill>
          </w14:textFill>
          <w:woUserID w:val="1"/>
        </w:rPr>
        <w:t>第五十七章 提高公共安全治理水平</w:t>
      </w:r>
      <w:bookmarkEnd w:id="77"/>
    </w:p>
    <w:p w14:paraId="2CC99B68">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color w:val="000000" w:themeColor="text1"/>
          <w:lang w:val="en-US"/>
          <w14:textFill>
            <w14:solidFill>
              <w14:schemeClr w14:val="tx1"/>
            </w14:solidFill>
          </w14:textFill>
        </w:rPr>
        <w:t>坚持安全第一、预防为主，树牢底线思维，完善公共安全体系，推动公共安全治理模式向事前预防转型，提高防灾减灾救灾和重大突发公共事件处置保障能力，切实保障人民群众生命财产安全和社会大局稳定。</w:t>
      </w:r>
    </w:p>
    <w:p w14:paraId="1B6B559E">
      <w:pPr>
        <w:pStyle w:val="15"/>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强化基层应急能力建设。</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t>提升基层应急管理组织指挥能力，完善基层应急管理组织体系，建立应急指挥机制，健全责任落实机制。加强基层隐患排查治理，推进安全风险监测网络建设，推动安全监管执法力量下沉到乡镇、街道。加强预案编制和演练，强化应急值守和信息报送，完善基层物资储备应急体系，建强区、乡两级综合性应急救援队伍，推动基层培育社会应急力量，提升基层应急救援综合能力。</w:t>
      </w:r>
    </w:p>
    <w:p w14:paraId="0F91FF34">
      <w:pPr>
        <w:pStyle w:val="15"/>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筑牢全覆盖安全生产责任体系。</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t>严格落实地方党委和政府安全生产领导责任、部门安全监管责任和企业安全生产主体责任。落实地方党政领导安全生产履责述职制度，健全党政领导干部带队督查检查安全生产机制。督促企业建立健全覆盖全员、全过程、全方位的安全生产责任制，引导企业完善安全生产管理体系，通过常态化巡查督查、警示约谈、事故提级调查等手段，强力倒逼企业主体责任和全员岗位责任落实到位。</w:t>
      </w:r>
    </w:p>
    <w:p w14:paraId="033D5BB6">
      <w:pPr>
        <w:pStyle w:val="15"/>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强化部门行业监管与长效机制建设。</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t>严格落实“管行业必须管安全、管业务必须管安全、管生产经营必须管安全”要求，统筹各类监管资源，加快建立全方位、多层次、立体化监管体系，实现事前事中事后全链条全领域监管。建立跨部门综合监管体制机制，完善监管协同方式，提升监管联动效能，加强监管支撑能力建设。</w:t>
      </w:r>
    </w:p>
    <w:p w14:paraId="0436FE8A">
      <w:pPr>
        <w:pStyle w:val="15"/>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第四节 深化重点行业领域风险隐患排查整治。</w:t>
      </w:r>
      <w:r>
        <w:rPr>
          <w:rFonts w:hint="eastAsia" w:ascii="仿宋" w:hAnsi="仿宋" w:eastAsia="仿宋" w:cs="仿宋"/>
          <w:b w:val="0"/>
          <w:bCs w:val="0"/>
          <w:color w:val="000000" w:themeColor="text1"/>
          <w:kern w:val="2"/>
          <w:sz w:val="32"/>
          <w:szCs w:val="32"/>
          <w:highlight w:val="none"/>
          <w:lang w:val="en-US" w:eastAsia="zh-CN" w:bidi="ar"/>
          <w14:textFill>
            <w14:solidFill>
              <w14:schemeClr w14:val="tx1"/>
            </w14:solidFill>
          </w14:textFill>
          <w:woUserID w:val="1"/>
        </w:rPr>
        <w:t>聚焦危险化学品、工贸、建筑施工、道路交通、城镇燃气、消防安全、食品安全等高危行业和重点场所，健全隐患排查治理机制，实行风险隐患动态清单管理。大力宣贯并严格执行各行业领域安全生产重大事故隐患判定标准。强化监管执法，提高执法效能，完善分类分级执法检查制度，精准聚焦执法检查内容，完善安全生产隐患举报奖励制度，鼓励社会公众和内部员工参与监督，形成群防群治合力，严格遏制重特大事故发生。</w:t>
      </w:r>
    </w:p>
    <w:p w14:paraId="053FA1CA">
      <w:pPr>
        <w:pStyle w:val="2"/>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right="0"/>
        <w:jc w:val="center"/>
        <w:rPr>
          <w:rFonts w:hint="eastAsia" w:ascii="楷体" w:hAnsi="楷体" w:eastAsia="楷体" w:cs="楷体"/>
          <w:b/>
          <w:bCs/>
          <w:color w:val="000000" w:themeColor="text1"/>
          <w:kern w:val="2"/>
          <w:sz w:val="32"/>
          <w:szCs w:val="32"/>
          <w:highlight w:val="none"/>
          <w:lang w:val="en-US" w:eastAsia="zh-CN" w:bidi="ar"/>
          <w14:textFill>
            <w14:solidFill>
              <w14:schemeClr w14:val="tx1"/>
            </w14:solidFill>
          </w14:textFill>
          <w:woUserID w:val="1"/>
        </w:rPr>
      </w:pPr>
      <w:bookmarkStart w:id="78" w:name="_Toc19452"/>
      <w:r>
        <w:rPr>
          <w:rFonts w:hint="eastAsia" w:ascii="楷体" w:hAnsi="楷体" w:eastAsia="楷体" w:cs="楷体"/>
          <w:b/>
          <w:bCs/>
          <w:color w:val="000000" w:themeColor="text1"/>
          <w:kern w:val="2"/>
          <w:sz w:val="32"/>
          <w:szCs w:val="32"/>
          <w:highlight w:val="none"/>
          <w:lang w:val="en-US" w:eastAsia="zh-CN" w:bidi="ar"/>
          <w14:textFill>
            <w14:solidFill>
              <w14:schemeClr w14:val="tx1"/>
            </w14:solidFill>
          </w14:textFill>
          <w:woUserID w:val="1"/>
        </w:rPr>
        <w:t>第五十八章 加强和创新基层社会治理</w:t>
      </w:r>
      <w:bookmarkEnd w:id="78"/>
    </w:p>
    <w:p w14:paraId="127D8376">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坚持和发展新时代“枫桥经验”，推动社会治理重心向基层下移，健全共建共治共享的社会治理制度，提升基层治理社会化、法治化、智能化、专业化水平，建设人人有责、人人尽责、人人享有的社会治理共同体。</w:t>
      </w:r>
    </w:p>
    <w:p w14:paraId="19CA18C5">
      <w:pPr>
        <w:pStyle w:val="15"/>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第一节 深化基层社会治理创新。</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坚持和发展新时代“枫桥经验”，完善党委领导、政府负责、民主协商、社会协同、公众参与、法治保障、科技支撑的社会治理体系。健全基层治理权责清单，优化网格化服务管理，强化“多网合一”效能。加强人工智能、大数据等现代科技与社会治理深度融合，推进网上网下协同治理。加强新经济组织、新社会组织、新就业群体党的建设，引领其参与社会治理。加强社会组织培育管理，推动行业协会商会改革发展。加强党建引领基层治理和基层政权建设，优化升级网格化服务管理，全面实施乡镇（街道）履行职责事项清单，健全村（社区）工作事项准入制度，推动社会治理重心下移、力量下沉、保障下倾。</w:t>
      </w:r>
    </w:p>
    <w:p w14:paraId="7B615E10">
      <w:pPr>
        <w:pStyle w:val="15"/>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第二节 发展社会主义民主。</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坚定不移走中国特色社会主义政治发展道路，坚持党的领导、人民当家作主、依法治国有机统一，发展全过程人民民主，建设高水平的法治东风区。坚持好、完善好、运行好人民代表大会制度，确保国家机关依法行使权力、履行职责，确保人民群众民主权利、合法权益得到维护和实现。坚持和完善中国共产党领导的多党合作和政治协商制度，发挥人民政协专门协商机构作用，更好发挥民主党派、工商联和无党派人士作用，积极健全人民政协工作制度机制，提高建言资政和凝聚共识水平。健全基层民主制度，保障人民依法管理基层公共事务和公益事业。健全吸纳民意、汇集民智工作机制。发挥工会、共青团、妇联等群团组织作用，加强产业工人队伍建设、青少年发展、妇女儿童事业发展政策保障。巩固和发展最广泛的爱国统一战线，坚持和完善大统战工作格局，提升新型政党制度效能。全面贯彻党的民族政策，深化民族团结进步创建，铸牢中华民族共同体意识。坚持我国宗教中国化方向，加强宗教事务治理法治化。支持党外知识分子、新的社会阶层人士投身创新创造、有序参与政治生活。更好凝聚侨心侨力，巩固壮大爱国爱乡力量。</w:t>
      </w:r>
    </w:p>
    <w:p w14:paraId="715AB943">
      <w:pPr>
        <w:pStyle w:val="15"/>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第三节 深化“法治东风区”建设。</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坚持全面依法治区，统筹法治东风区、法治政府、法治社会一体建设，严格执法、公正司法、全民守法。加强宪法法律法规的实施和监督，维护国家法治统一。强化法治政府建设，全面落实行政规范性文件备案审查，完善实质性化解行政争议机制。加强统计法治建设，筑牢数据质量安全防线。推进政法工作数字化平台建设，强化跨部门执法司法协同和监督。规范司法权力运行，完善司法公正实现和评价机制，提高司法裁判公正性、稳定性、权威性。强化检察监督，加强公益诉讼。依法保障人身权、财产权、人格权，健全规范涉企执法长效机制，防止和纠正趋利性执法。全面准确贯彻宽严相济刑事政策，依法惩处违法犯罪，提升刑罚执行质效。深化审判权和执行权分离改革，有效解决“执行难”问题。加强领导干部依法办事监督检查。推进法治社会建设，营造全社会崇尚法治、恪守规则、尊重契约、维护公正的良好环境。</w:t>
      </w:r>
    </w:p>
    <w:p w14:paraId="5B5750DE">
      <w:pPr>
        <w:pStyle w:val="15"/>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3" w:firstLineChars="200"/>
        <w:jc w:val="both"/>
        <w:rPr>
          <w:rFonts w:hint="default" w:ascii="Times New Roman" w:hAnsi="Times New Roman" w:eastAsia="仿宋_GB2312" w:cs="Times New Roman"/>
          <w:color w:val="000000" w:themeColor="text1"/>
          <w:kern w:val="2"/>
          <w:sz w:val="32"/>
          <w:szCs w:val="32"/>
          <w:highlight w:val="none"/>
          <w:lang w:val="en-US" w:eastAsia="zh-CN" w:bidi="ar"/>
          <w14:textFill>
            <w14:solidFill>
              <w14:schemeClr w14:val="tx1"/>
            </w14:solidFill>
          </w14:textFill>
          <w:woUserID w:val="1"/>
        </w:rPr>
      </w:pPr>
      <w:r>
        <w:rPr>
          <w:rFonts w:hint="eastAsia" w:ascii="仿宋" w:hAnsi="仿宋" w:eastAsia="仿宋" w:cs="仿宋"/>
          <w:b/>
          <w:bCs/>
          <w:color w:val="000000" w:themeColor="text1"/>
          <w:kern w:val="2"/>
          <w:sz w:val="32"/>
          <w:szCs w:val="32"/>
          <w:highlight w:val="none"/>
          <w:lang w:val="en-US" w:eastAsia="zh-CN" w:bidi="ar"/>
          <w14:textFill>
            <w14:solidFill>
              <w14:schemeClr w14:val="tx1"/>
            </w14:solidFill>
          </w14:textFill>
          <w:woUserID w:val="1"/>
        </w:rPr>
        <w:t>第四节 健全社会服务与矛盾化解机制</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woUserID w:val="1"/>
        </w:rPr>
        <w:t>。完善凝聚群众、服务群众工作机制，加强社会心理服务体系和危机干预机制建设。畅通和规范群众诉求表达、利益协调、权益保障通道，健全社会矛盾多元预防调处化解综合机制。发挥市民公约、村规民约的积极作用，加强家庭家教家风建设，持续推进移风易俗。大力发展专业社会工作和志愿服务，推广“专业社工+志愿者”联动模式，关心关爱困难群体和特殊人群。加强基层服务管理力量与设施保障，夯实社会长治久安的群众基础。</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0216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1364996E">
            <w:pPr>
              <w:pStyle w:val="15"/>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0" w:firstLineChars="0"/>
              <w:jc w:val="center"/>
              <w:rPr>
                <w:rFonts w:hint="default" w:ascii="Times New Roman" w:hAnsi="Times New Roman" w:eastAsia="微软雅黑" w:cs="Times New Roman"/>
                <w:color w:val="000000" w:themeColor="text1"/>
                <w:kern w:val="2"/>
                <w:sz w:val="32"/>
                <w:szCs w:val="32"/>
                <w:highlight w:val="none"/>
                <w14:textFill>
                  <w14:solidFill>
                    <w14:schemeClr w14:val="tx1"/>
                  </w14:solidFill>
                </w14:textFill>
                <w:woUserID w:val="1"/>
              </w:rPr>
            </w:pPr>
            <w:r>
              <w:rPr>
                <w:rFonts w:hint="default" w:ascii="Times New Roman" w:hAnsi="Times New Roman" w:eastAsia="微软雅黑" w:cs="Times New Roman"/>
                <w:color w:val="000000" w:themeColor="text1"/>
                <w:kern w:val="2"/>
                <w:sz w:val="24"/>
                <w:szCs w:val="24"/>
                <w:highlight w:val="none"/>
                <w:lang w:val="en-US" w:eastAsia="zh-CN" w:bidi="ar"/>
                <w14:textFill>
                  <w14:solidFill>
                    <w14:schemeClr w14:val="tx1"/>
                  </w14:solidFill>
                </w14:textFill>
                <w:woUserID w:val="1"/>
              </w:rPr>
              <w:t>专栏14-1  应急管理建设重点工程</w:t>
            </w:r>
          </w:p>
        </w:tc>
      </w:tr>
      <w:tr w14:paraId="7485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5419A02A">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1.智慧应急能力提升行动</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。重点实施应急指挥部建设工程，具备“三断”特殊情况下信息传输功能，以满足敏感时期、重要时间节点的联合调度应急指挥机制要求，为全区统一决策部署提供支撑。</w:t>
            </w:r>
          </w:p>
          <w:p w14:paraId="4C60021B">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4"/>
                <w:szCs w:val="24"/>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2.综合保障能力提升行动。</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重点实施应急物资储备库建设工程，拥有分级分类物资存储能力，满足区级中心库、镇街分库及社区临时点建立三级储备网络的需要。</w:t>
            </w:r>
          </w:p>
          <w:p w14:paraId="728C950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482" w:firstLineChars="200"/>
              <w:jc w:val="both"/>
              <w:rPr>
                <w:rFonts w:hint="default" w:ascii="Times New Roman" w:hAnsi="Times New Roman" w:eastAsia="仿宋_GB2312" w:cs="Times New Roman"/>
                <w:color w:val="000000" w:themeColor="text1"/>
                <w:kern w:val="2"/>
                <w:sz w:val="21"/>
                <w:szCs w:val="21"/>
                <w:highlight w:val="none"/>
                <w14:textFill>
                  <w14:solidFill>
                    <w14:schemeClr w14:val="tx1"/>
                  </w14:solidFill>
                </w14:textFill>
                <w:woUserID w:val="1"/>
              </w:rPr>
            </w:pPr>
            <w:r>
              <w:rPr>
                <w:rFonts w:hint="default" w:ascii="Times New Roman" w:hAnsi="Times New Roman" w:eastAsia="仿宋_GB2312" w:cs="Times New Roman"/>
                <w:b/>
                <w:bCs/>
                <w:color w:val="000000" w:themeColor="text1"/>
                <w:kern w:val="2"/>
                <w:sz w:val="24"/>
                <w:szCs w:val="24"/>
                <w:highlight w:val="none"/>
                <w:lang w:val="en-US" w:eastAsia="zh-CN" w:bidi="ar"/>
                <w14:textFill>
                  <w14:solidFill>
                    <w14:schemeClr w14:val="tx1"/>
                  </w14:solidFill>
                </w14:textFill>
                <w:woUserID w:val="1"/>
              </w:rPr>
              <w:t>3.基层应急能力提升行动。</w:t>
            </w:r>
            <w:r>
              <w:rPr>
                <w:rFonts w:hint="default" w:ascii="Times New Roman" w:hAnsi="Times New Roman" w:eastAsia="仿宋_GB2312" w:cs="Times New Roman"/>
                <w:color w:val="000000" w:themeColor="text1"/>
                <w:kern w:val="2"/>
                <w:sz w:val="24"/>
                <w:szCs w:val="24"/>
                <w:highlight w:val="none"/>
                <w:lang w:val="en-US" w:eastAsia="zh-CN" w:bidi="ar"/>
                <w14:textFill>
                  <w14:solidFill>
                    <w14:schemeClr w14:val="tx1"/>
                  </w14:solidFill>
                </w14:textFill>
                <w:woUserID w:val="1"/>
              </w:rPr>
              <w:t>重点实施应急避难场所建设工程，建设一批选址精准、划分明确、常储物资、可容纳辖区居民逃生的应急避难场所。</w:t>
            </w:r>
          </w:p>
        </w:tc>
      </w:tr>
    </w:tbl>
    <w:p w14:paraId="07062EEC">
      <w:pPr>
        <w:pStyle w:val="2"/>
        <w:pageBreakBefore w:val="0"/>
        <w:widowControl w:val="0"/>
        <w:kinsoku/>
        <w:wordWrap/>
        <w:topLinePunct w:val="0"/>
        <w:autoSpaceDN/>
        <w:bidi w:val="0"/>
        <w:snapToGrid w:val="0"/>
        <w:spacing w:beforeAutospacing="0" w:afterAutospacing="0" w:line="600" w:lineRule="exact"/>
        <w:jc w:val="center"/>
        <w:rPr>
          <w:rFonts w:hint="default" w:ascii="Times New Roman" w:hAnsi="Times New Roman" w:cs="Times New Roman"/>
          <w:color w:val="000000" w:themeColor="text1"/>
          <w:highlight w:val="none"/>
          <w14:textFill>
            <w14:solidFill>
              <w14:schemeClr w14:val="tx1"/>
            </w14:solidFill>
          </w14:textFill>
        </w:rPr>
      </w:pPr>
      <w:bookmarkStart w:id="79" w:name="_Toc10127"/>
      <w:r>
        <w:rPr>
          <w:rFonts w:hint="default" w:ascii="Times New Roman" w:hAnsi="Times New Roman" w:cs="Times New Roman"/>
          <w:color w:val="000000" w:themeColor="text1"/>
          <w:highlight w:val="none"/>
          <w:lang w:val="en-US" w:eastAsia="zh-CN"/>
          <w14:textFill>
            <w14:solidFill>
              <w14:schemeClr w14:val="tx1"/>
            </w14:solidFill>
          </w14:textFill>
        </w:rPr>
        <w:t>第十五篇</w:t>
      </w:r>
      <w:r>
        <w:rPr>
          <w:rFonts w:hint="eastAsia"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广泛凝聚各方力量为实现“十五五”规划而</w:t>
      </w:r>
      <w:r>
        <w:rPr>
          <w:rFonts w:hint="default" w:ascii="Times New Roman" w:hAnsi="Times New Roman" w:cs="Times New Roman"/>
          <w:color w:val="000000" w:themeColor="text1"/>
          <w:highlight w:val="none"/>
          <w:lang w:val="en-US" w:eastAsia="zh-CN"/>
          <w14:textFill>
            <w14:solidFill>
              <w14:schemeClr w14:val="tx1"/>
            </w14:solidFill>
          </w14:textFill>
        </w:rPr>
        <w:t>努力</w:t>
      </w:r>
      <w:r>
        <w:rPr>
          <w:rFonts w:hint="default" w:ascii="Times New Roman" w:hAnsi="Times New Roman" w:cs="Times New Roman"/>
          <w:color w:val="000000" w:themeColor="text1"/>
          <w:highlight w:val="none"/>
          <w14:textFill>
            <w14:solidFill>
              <w14:schemeClr w14:val="tx1"/>
            </w14:solidFill>
          </w14:textFill>
        </w:rPr>
        <w:t>奋斗</w:t>
      </w:r>
      <w:bookmarkEnd w:id="79"/>
    </w:p>
    <w:p w14:paraId="2112079C">
      <w:pPr>
        <w:keepNext w:val="0"/>
        <w:keepLines w:val="0"/>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实现“十五五”规划目标，必须毫不动摇坚持党的领导，全面贯彻落实党的建设总要求和新时代党的组织路线，完善统一规划体系，创新规划实施机制，增强规划约束性，强化重大载体支撑作用，调动一切积极因素，广泛团结一切可以团结的力量，形成推动发展的强大合力，确保规划有效落实。</w:t>
      </w:r>
    </w:p>
    <w:p w14:paraId="71DB8D53">
      <w:pPr>
        <w:pStyle w:val="3"/>
        <w:keepNext w:val="0"/>
        <w:keepLines w:val="0"/>
        <w:pageBreakBefore w:val="0"/>
        <w:widowControl w:val="0"/>
        <w:kinsoku/>
        <w:wordWrap/>
        <w:topLinePunct w:val="0"/>
        <w:autoSpaceDN/>
        <w:bidi w:val="0"/>
        <w:snapToGrid w:val="0"/>
        <w:spacing w:beforeAutospacing="0" w:afterAutospacing="0" w:line="600" w:lineRule="exact"/>
        <w:jc w:val="center"/>
        <w:rPr>
          <w:rFonts w:hint="eastAsia" w:ascii="楷体" w:hAnsi="楷体" w:eastAsia="楷体" w:cs="楷体"/>
          <w:color w:val="000000" w:themeColor="text1"/>
          <w:highlight w:val="none"/>
          <w14:textFill>
            <w14:solidFill>
              <w14:schemeClr w14:val="tx1"/>
            </w14:solidFill>
          </w14:textFill>
        </w:rPr>
      </w:pPr>
      <w:bookmarkStart w:id="80" w:name="_Toc5460"/>
      <w:r>
        <w:rPr>
          <w:rFonts w:hint="eastAsia" w:ascii="楷体" w:hAnsi="楷体" w:eastAsia="楷体" w:cs="楷体"/>
          <w:color w:val="000000" w:themeColor="text1"/>
          <w:highlight w:val="none"/>
          <w:lang w:val="en-US" w:eastAsia="zh-CN"/>
          <w14:textFill>
            <w14:solidFill>
              <w14:schemeClr w14:val="tx1"/>
            </w14:solidFill>
          </w14:textFill>
        </w:rPr>
        <w:t>第五十九章 坚持和</w:t>
      </w:r>
      <w:r>
        <w:rPr>
          <w:rFonts w:hint="eastAsia" w:ascii="楷体" w:hAnsi="楷体" w:eastAsia="楷体" w:cs="楷体"/>
          <w:color w:val="000000" w:themeColor="text1"/>
          <w:highlight w:val="none"/>
          <w14:textFill>
            <w14:solidFill>
              <w14:schemeClr w14:val="tx1"/>
            </w14:solidFill>
          </w14:textFill>
        </w:rPr>
        <w:t>加强党的全面领导</w:t>
      </w:r>
      <w:bookmarkEnd w:id="80"/>
    </w:p>
    <w:p w14:paraId="216B9534">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坚决维护以习近平同志为核心的党中央权威和集中统一领导，充分发挥各级党组织作用，运用好领导责任、工作推进、督导检查、考核评价工作落实机制，贯彻落实习近平总书记重要讲话重要指示精神、党中央决策部署和省委</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市委</w:t>
      </w:r>
      <w:r>
        <w:rPr>
          <w:rFonts w:hint="eastAsia" w:ascii="仿宋" w:hAnsi="仿宋" w:eastAsia="仿宋" w:cs="仿宋"/>
          <w:color w:val="000000" w:themeColor="text1"/>
          <w:highlight w:val="none"/>
          <w14:textFill>
            <w14:solidFill>
              <w14:schemeClr w14:val="tx1"/>
            </w14:solidFill>
          </w14:textFill>
        </w:rPr>
        <w:t>工作要求。发展党内民主，健全和落实民主集中制，坚持科学决策、民主决策、依法决策。坚持正确用人导向，把政治标准放在首位，突出实干实绩，树立和践行正确政绩观，完善干部考核评价机制，调整不胜任现职干部，推进领导干部能上能下常态化。深化干部能力作风建设，强化教育培训和实践锻炼，加快建设年轻化专业化高素质干部队伍。坚持严管与厚爱相结合、激励与约束并重，加大治庸治懒力度，完善干部担当作为激励和保护机制，惩治诬告陷害行为，积极为敢担当、善作为的干部容错纠错、澄清正名，激发干部内生动力和整体活力。统筹推进各领域基层党组织建设，发挥党员先锋模范作用，提高党的组织和工作覆盖，深入推进抓党建促乡村振兴，做细做实党建引领基层治理，扎实推进产业链党建工作，推动机关党建与业务工作深度融合，增强党组织政治功能和组织功能，推动“十五五”规划目标落地见效。</w:t>
      </w:r>
    </w:p>
    <w:p w14:paraId="2588D0AD">
      <w:pPr>
        <w:pageBreakBefore w:val="0"/>
        <w:widowControl w:val="0"/>
        <w:kinsoku/>
        <w:wordWrap/>
        <w:topLinePunct w:val="0"/>
        <w:autoSpaceDN/>
        <w:bidi w:val="0"/>
        <w:snapToGrid w:val="0"/>
        <w:spacing w:beforeAutospacing="0" w:afterAutospacing="0" w:line="600" w:lineRule="exact"/>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ascii="楷体" w:hAnsi="楷体" w:eastAsia="楷体" w:cs="楷体"/>
          <w:b/>
          <w:bCs/>
          <w:color w:val="000000" w:themeColor="text1"/>
          <w:highlight w:val="none"/>
          <w14:textFill>
            <w14:solidFill>
              <w14:schemeClr w14:val="tx1"/>
            </w14:solidFill>
          </w14:textFill>
        </w:rPr>
        <w:t>第</w:t>
      </w:r>
      <w:r>
        <w:rPr>
          <w:rFonts w:hint="eastAsia" w:ascii="楷体" w:hAnsi="楷体" w:eastAsia="楷体" w:cs="楷体"/>
          <w:b/>
          <w:bCs/>
          <w:color w:val="000000" w:themeColor="text1"/>
          <w:highlight w:val="none"/>
          <w:lang w:val="en-US" w:eastAsia="zh-CN"/>
          <w14:textFill>
            <w14:solidFill>
              <w14:schemeClr w14:val="tx1"/>
            </w14:solidFill>
          </w14:textFill>
        </w:rPr>
        <w:t>六十</w:t>
      </w:r>
      <w:r>
        <w:rPr>
          <w:rFonts w:hint="eastAsia" w:ascii="楷体" w:hAnsi="楷体" w:eastAsia="楷体" w:cs="楷体"/>
          <w:b/>
          <w:bCs/>
          <w:color w:val="000000" w:themeColor="text1"/>
          <w:highlight w:val="none"/>
          <w14:textFill>
            <w14:solidFill>
              <w14:schemeClr w14:val="tx1"/>
            </w14:solidFill>
          </w14:textFill>
        </w:rPr>
        <w:t>章 健全统一规划体系</w:t>
      </w:r>
    </w:p>
    <w:p w14:paraId="19B90A81">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坚持以</w:t>
      </w:r>
      <w:r>
        <w:rPr>
          <w:rFonts w:hint="eastAsia" w:ascii="仿宋" w:hAnsi="仿宋" w:eastAsia="仿宋" w:cs="仿宋"/>
          <w:color w:val="000000" w:themeColor="text1"/>
          <w:highlight w:val="none"/>
          <w:lang w:val="en-US" w:eastAsia="zh-CN"/>
          <w14:textFill>
            <w14:solidFill>
              <w14:schemeClr w14:val="tx1"/>
            </w14:solidFill>
          </w14:textFill>
        </w:rPr>
        <w:t>区</w:t>
      </w:r>
      <w:r>
        <w:rPr>
          <w:rFonts w:hint="eastAsia" w:ascii="仿宋" w:hAnsi="仿宋" w:eastAsia="仿宋" w:cs="仿宋"/>
          <w:color w:val="000000" w:themeColor="text1"/>
          <w:highlight w:val="none"/>
          <w14:textFill>
            <w14:solidFill>
              <w14:schemeClr w14:val="tx1"/>
            </w14:solidFill>
          </w14:textFill>
        </w:rPr>
        <w:t>级发展规划为统领、空间规划为基础、专项规划为支撑，形成定位准确、边界清晰、功能互补、统一衔接的规划体系。突出战略引领和统筹功能，聚焦长远发展重点任务，提出合理的空间布局和发展方向。健全规划编制与管理机制，规范前期研究、衔接论证、审核批准等程序，强化规划衔接协调，做到下位服从上位、下级服务上级、等位互相协调。厘清规划定位，明确规划发展战略与路径</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任务</w:t>
      </w:r>
      <w:r>
        <w:rPr>
          <w:rFonts w:hint="eastAsia" w:ascii="仿宋" w:hAnsi="仿宋" w:eastAsia="仿宋" w:cs="仿宋"/>
          <w:color w:val="000000" w:themeColor="text1"/>
          <w:highlight w:val="none"/>
          <w:lang w:val="en-US" w:eastAsia="zh-CN"/>
          <w14:textFill>
            <w14:solidFill>
              <w14:schemeClr w14:val="tx1"/>
            </w14:solidFill>
          </w14:textFill>
        </w:rPr>
        <w:t>与</w:t>
      </w:r>
      <w:r>
        <w:rPr>
          <w:rFonts w:hint="eastAsia" w:ascii="仿宋" w:hAnsi="仿宋" w:eastAsia="仿宋" w:cs="仿宋"/>
          <w:color w:val="000000" w:themeColor="text1"/>
          <w:highlight w:val="none"/>
          <w14:textFill>
            <w14:solidFill>
              <w14:schemeClr w14:val="tx1"/>
            </w14:solidFill>
          </w14:textFill>
        </w:rPr>
        <w:t>措施，推动多规融合、协同高效。依托数字政府建设，完善</w:t>
      </w:r>
      <w:r>
        <w:rPr>
          <w:rFonts w:hint="eastAsia" w:ascii="仿宋" w:hAnsi="仿宋" w:eastAsia="仿宋" w:cs="仿宋"/>
          <w:color w:val="000000" w:themeColor="text1"/>
          <w:highlight w:val="none"/>
          <w:lang w:val="en-US" w:eastAsia="zh-CN"/>
          <w14:textFill>
            <w14:solidFill>
              <w14:schemeClr w14:val="tx1"/>
            </w14:solidFill>
          </w14:textFill>
        </w:rPr>
        <w:t>区</w:t>
      </w:r>
      <w:r>
        <w:rPr>
          <w:rFonts w:hint="eastAsia" w:ascii="仿宋" w:hAnsi="仿宋" w:eastAsia="仿宋" w:cs="仿宋"/>
          <w:color w:val="000000" w:themeColor="text1"/>
          <w:highlight w:val="none"/>
          <w14:textFill>
            <w14:solidFill>
              <w14:schemeClr w14:val="tx1"/>
            </w14:solidFill>
          </w14:textFill>
        </w:rPr>
        <w:t>级规划信息管理平台，推动规划数据共享、动态更新与全过程监督评估，不断提升规划编制与实施的科学化、规范化水平，为“十五五”目标实现提供有力保障。</w:t>
      </w:r>
    </w:p>
    <w:p w14:paraId="029BEC7E">
      <w:pPr>
        <w:pageBreakBefore w:val="0"/>
        <w:widowControl w:val="0"/>
        <w:kinsoku/>
        <w:wordWrap/>
        <w:topLinePunct w:val="0"/>
        <w:autoSpaceDN/>
        <w:bidi w:val="0"/>
        <w:snapToGrid w:val="0"/>
        <w:spacing w:beforeAutospacing="0" w:afterAutospacing="0" w:line="600" w:lineRule="exact"/>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ascii="楷体" w:hAnsi="楷体" w:eastAsia="楷体" w:cs="楷体"/>
          <w:b/>
          <w:bCs/>
          <w:color w:val="000000" w:themeColor="text1"/>
          <w:highlight w:val="none"/>
          <w14:textFill>
            <w14:solidFill>
              <w14:schemeClr w14:val="tx1"/>
            </w14:solidFill>
          </w14:textFill>
        </w:rPr>
        <w:t>第六十</w:t>
      </w:r>
      <w:r>
        <w:rPr>
          <w:rFonts w:hint="eastAsia" w:ascii="楷体" w:hAnsi="楷体" w:eastAsia="楷体" w:cs="楷体"/>
          <w:b/>
          <w:bCs/>
          <w:color w:val="000000" w:themeColor="text1"/>
          <w:highlight w:val="none"/>
          <w:lang w:val="en-US" w:eastAsia="zh-CN"/>
          <w14:textFill>
            <w14:solidFill>
              <w14:schemeClr w14:val="tx1"/>
            </w14:solidFill>
          </w14:textFill>
        </w:rPr>
        <w:t>一</w:t>
      </w:r>
      <w:r>
        <w:rPr>
          <w:rFonts w:hint="eastAsia" w:ascii="楷体" w:hAnsi="楷体" w:eastAsia="楷体" w:cs="楷体"/>
          <w:b/>
          <w:bCs/>
          <w:color w:val="000000" w:themeColor="text1"/>
          <w:highlight w:val="none"/>
          <w14:textFill>
            <w14:solidFill>
              <w14:schemeClr w14:val="tx1"/>
            </w14:solidFill>
          </w14:textFill>
        </w:rPr>
        <w:t>章 完善规划实施机制</w:t>
      </w:r>
    </w:p>
    <w:p w14:paraId="3D9866DA">
      <w:pPr>
        <w:pageBreakBefore w:val="0"/>
        <w:widowControl w:val="0"/>
        <w:kinsoku/>
        <w:wordWrap/>
        <w:topLinePunct w:val="0"/>
        <w:autoSpaceDN/>
        <w:bidi w:val="0"/>
        <w:snapToGrid w:val="0"/>
        <w:spacing w:beforeAutospacing="0" w:afterAutospacing="0" w:line="600" w:lineRule="exac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全面贯彻落实发展规划，切实增强实施的系统性、整体性与协同性，建立健全约束性与预期性指标统筹推进机制，明确责任主体和进度要求。统筹财政金融资源优先保障重点工程项目，强化政策、改革与项目之间的协调配合。以制度创新推动重大改革落地，以重大项目带动重点任务落实。强化规划实施监测评估和监督，健全政策协调和工作协同机制，确保党中央</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国务院</w:t>
      </w:r>
      <w:r>
        <w:rPr>
          <w:rFonts w:hint="eastAsia" w:ascii="仿宋" w:hAnsi="仿宋" w:eastAsia="仿宋" w:cs="仿宋"/>
          <w:color w:val="000000" w:themeColor="text1"/>
          <w:highlight w:val="none"/>
          <w14:textFill>
            <w14:solidFill>
              <w14:schemeClr w14:val="tx1"/>
            </w14:solidFill>
          </w14:textFill>
        </w:rPr>
        <w:t>决策部署</w:t>
      </w:r>
      <w:r>
        <w:rPr>
          <w:rFonts w:hint="eastAsia" w:ascii="仿宋" w:hAnsi="仿宋" w:eastAsia="仿宋" w:cs="仿宋"/>
          <w:color w:val="000000" w:themeColor="text1"/>
          <w:highlight w:val="none"/>
          <w:lang w:val="en-US" w:eastAsia="zh-CN"/>
          <w14:textFill>
            <w14:solidFill>
              <w14:schemeClr w14:val="tx1"/>
            </w14:solidFill>
          </w14:textFill>
        </w:rPr>
        <w:t>和省委省政府、市委市政府重点任务</w:t>
      </w:r>
      <w:r>
        <w:rPr>
          <w:rFonts w:hint="eastAsia" w:ascii="仿宋" w:hAnsi="仿宋" w:eastAsia="仿宋" w:cs="仿宋"/>
          <w:color w:val="000000" w:themeColor="text1"/>
          <w:highlight w:val="none"/>
          <w14:textFill>
            <w14:solidFill>
              <w14:schemeClr w14:val="tx1"/>
            </w14:solidFill>
          </w14:textFill>
        </w:rPr>
        <w:t>落到实处。要健全政社沟通机制，调动市场主体、智库、公民等积极参与，畅通政务信息公开与社会监督渠道。创新宣传形式，强化正面舆论引导，营造人人知晓规划、支持规划、参与规划的良好氛围。激发全社会干事创业、创新创造活力，形成人尽其才、才尽其用、万众一心、勠力进取的生动局面，为规划实施汇聚强大合力。</w:t>
      </w:r>
    </w:p>
    <w:p w14:paraId="089A25FF">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0" w:firstLineChars="200"/>
        <w:jc w:val="left"/>
        <w:rPr>
          <w:rFonts w:hint="default" w:ascii="Times New Roman" w:hAnsi="Times New Roman" w:eastAsia="仿宋_GB2312" w:cs="Times New Roman"/>
          <w:color w:val="000000" w:themeColor="text1"/>
          <w:kern w:val="2"/>
          <w:sz w:val="32"/>
          <w:szCs w:val="32"/>
          <w:highlight w:val="none"/>
          <w:lang w:val="en-US" w:eastAsia="zh-CN" w:bidi="ar"/>
          <w14:textFill>
            <w14:solidFill>
              <w14:schemeClr w14:val="tx1"/>
            </w14:solidFill>
          </w14:textFill>
          <w:woUserID w:val="1"/>
        </w:rPr>
      </w:pPr>
    </w:p>
    <w:p w14:paraId="19D2D230">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0" w:firstLineChars="200"/>
        <w:jc w:val="left"/>
        <w:rPr>
          <w:rFonts w:hint="default" w:ascii="Times New Roman" w:hAnsi="Times New Roman" w:eastAsia="仿宋_GB2312" w:cs="Times New Roman"/>
          <w:color w:val="000000" w:themeColor="text1"/>
          <w:kern w:val="2"/>
          <w:sz w:val="32"/>
          <w:szCs w:val="32"/>
          <w:highlight w:val="none"/>
          <w:lang w:val="en-US" w:eastAsia="zh-CN" w:bidi="ar"/>
          <w14:textFill>
            <w14:solidFill>
              <w14:schemeClr w14:val="tx1"/>
            </w14:solidFill>
          </w14:textFill>
          <w:woUserID w:val="1"/>
        </w:rPr>
      </w:pPr>
    </w:p>
    <w:p w14:paraId="0A579913">
      <w:pPr>
        <w:keepNext w:val="0"/>
        <w:keepLines w:val="0"/>
        <w:pageBreakBefore w:val="0"/>
        <w:widowControl w:val="0"/>
        <w:suppressLineNumbers w:val="0"/>
        <w:kinsoku/>
        <w:wordWrap/>
        <w:overflowPunct w:val="0"/>
        <w:topLinePunct w:val="0"/>
        <w:autoSpaceDN/>
        <w:bidi w:val="0"/>
        <w:snapToGrid w:val="0"/>
        <w:spacing w:before="0" w:beforeAutospacing="0" w:after="0" w:afterAutospacing="0" w:line="600" w:lineRule="exact"/>
        <w:ind w:left="0" w:right="0" w:firstLine="640" w:firstLineChars="200"/>
        <w:jc w:val="left"/>
        <w:rPr>
          <w:rFonts w:hint="default" w:ascii="Times New Roman" w:hAnsi="Times New Roman" w:eastAsia="仿宋_GB2312" w:cs="Times New Roman"/>
          <w:color w:val="000000" w:themeColor="text1"/>
          <w:kern w:val="2"/>
          <w:sz w:val="32"/>
          <w:szCs w:val="32"/>
          <w:highlight w:val="none"/>
          <w:lang w:val="en-US" w:eastAsia="zh-CN" w:bidi="ar"/>
          <w14:textFill>
            <w14:solidFill>
              <w14:schemeClr w14:val="tx1"/>
            </w14:solidFill>
          </w14:textFill>
          <w:woUserID w:val="1"/>
        </w:rPr>
      </w:pPr>
    </w:p>
    <w:p w14:paraId="3A334C30">
      <w:pPr>
        <w:pageBreakBefore w:val="0"/>
        <w:widowControl w:val="0"/>
        <w:kinsoku/>
        <w:wordWrap/>
        <w:topLinePunct w:val="0"/>
        <w:autoSpaceDN/>
        <w:bidi w:val="0"/>
        <w:snapToGrid w:val="0"/>
        <w:spacing w:beforeAutospacing="0" w:afterAutospacing="0" w:line="600" w:lineRule="exact"/>
        <w:jc w:val="left"/>
        <w:rPr>
          <w:rFonts w:hint="default" w:ascii="Times New Roman" w:hAnsi="Times New Roman" w:cs="Times New Roman"/>
          <w:color w:val="000000" w:themeColor="text1"/>
          <w:highlight w:val="none"/>
          <w:lang w:eastAsia="zh"/>
          <w14:textFill>
            <w14:solidFill>
              <w14:schemeClr w14:val="tx1"/>
            </w14:solidFill>
          </w14:textFill>
          <w:woUserID w:val="2"/>
        </w:rPr>
      </w:pPr>
    </w:p>
    <w:p w14:paraId="164514C8">
      <w:pPr>
        <w:pStyle w:val="2"/>
        <w:keepNext w:val="0"/>
        <w:keepLines w:val="0"/>
        <w:pageBreakBefore w:val="0"/>
        <w:widowControl w:val="0"/>
        <w:kinsoku/>
        <w:wordWrap/>
        <w:topLinePunct w:val="0"/>
        <w:autoSpaceDN/>
        <w:bidi w:val="0"/>
        <w:snapToGrid w:val="0"/>
        <w:spacing w:beforeAutospacing="0" w:afterAutospacing="0" w:line="600" w:lineRule="exact"/>
        <w:jc w:val="left"/>
        <w:rPr>
          <w:rFonts w:hint="default" w:ascii="Times New Roman" w:hAnsi="Times New Roman" w:cs="Times New Roman"/>
          <w:color w:val="000000" w:themeColor="text1"/>
          <w:highlight w:val="none"/>
          <w:lang w:eastAsia="zh"/>
          <w14:textFill>
            <w14:solidFill>
              <w14:schemeClr w14:val="tx1"/>
            </w14:solidFill>
          </w14:textFill>
          <w:woUserID w:val="2"/>
        </w:rPr>
      </w:pPr>
    </w:p>
    <w:p w14:paraId="35FF8BCD">
      <w:pPr>
        <w:keepNext w:val="0"/>
        <w:keepLines w:val="0"/>
        <w:pageBreakBefore w:val="0"/>
        <w:widowControl w:val="0"/>
        <w:kinsoku/>
        <w:wordWrap/>
        <w:topLinePunct w:val="0"/>
        <w:autoSpaceDN/>
        <w:bidi w:val="0"/>
        <w:snapToGrid w:val="0"/>
        <w:spacing w:beforeAutospacing="0" w:afterAutospacing="0" w:line="600" w:lineRule="exact"/>
        <w:ind w:firstLine="0" w:firstLineChars="0"/>
        <w:jc w:val="left"/>
        <w:rPr>
          <w:rFonts w:hint="default" w:ascii="Times New Roman" w:hAnsi="Times New Roman" w:cs="Times New Roman"/>
          <w:color w:val="000000" w:themeColor="text1"/>
          <w:highlight w:val="none"/>
          <w14:textFill>
            <w14:solidFill>
              <w14:schemeClr w14:val="tx1"/>
            </w14:solidFill>
          </w14:textFill>
        </w:rPr>
      </w:pPr>
    </w:p>
    <w:sectPr>
      <w:footerReference r:id="rId10" w:type="default"/>
      <w:pgSz w:w="11906" w:h="16838"/>
      <w:pgMar w:top="2098" w:right="1531" w:bottom="1984" w:left="1531"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4F4840-68AF-4675-8B12-D50BBE81119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7D7617B9-DD31-4322-AEFF-18624CB31BBF}"/>
  </w:font>
  <w:font w:name="楷体_GB2312">
    <w:panose1 w:val="02010609030101010101"/>
    <w:charset w:val="86"/>
    <w:family w:val="auto"/>
    <w:pitch w:val="default"/>
    <w:sig w:usb0="00000001" w:usb1="080E0000" w:usb2="00000000" w:usb3="00000000" w:csb0="00040000" w:csb1="00000000"/>
    <w:embedRegular r:id="rId3" w:fontKey="{35708C1F-D56D-4EA0-88DA-81FA07845A80}"/>
  </w:font>
  <w:font w:name="方正小标宋简体">
    <w:panose1 w:val="02000000000000000000"/>
    <w:charset w:val="86"/>
    <w:family w:val="auto"/>
    <w:pitch w:val="default"/>
    <w:sig w:usb0="00000001" w:usb1="08000000" w:usb2="00000000" w:usb3="00000000" w:csb0="00040000" w:csb1="00000000"/>
    <w:embedRegular r:id="rId4" w:fontKey="{58515307-8718-490C-ADA7-1930D396C542}"/>
  </w:font>
  <w:font w:name="楷体">
    <w:panose1 w:val="02010609060101010101"/>
    <w:charset w:val="86"/>
    <w:family w:val="modern"/>
    <w:pitch w:val="default"/>
    <w:sig w:usb0="800002BF" w:usb1="38CF7CFA" w:usb2="00000016" w:usb3="00000000" w:csb0="00040001" w:csb1="00000000"/>
    <w:embedRegular r:id="rId5" w:fontKey="{97275A8F-9D8E-4842-B344-F5BFA7F24FCD}"/>
  </w:font>
  <w:font w:name="仿宋">
    <w:panose1 w:val="02010609060101010101"/>
    <w:charset w:val="86"/>
    <w:family w:val="auto"/>
    <w:pitch w:val="default"/>
    <w:sig w:usb0="800002BF" w:usb1="38CF7CFA" w:usb2="00000016" w:usb3="00000000" w:csb0="00040001" w:csb1="00000000"/>
    <w:embedRegular r:id="rId6" w:fontKey="{08ABA946-5560-493C-B8F5-406B092CE7F6}"/>
  </w:font>
  <w:font w:name="微软雅黑">
    <w:panose1 w:val="020B0503020204020204"/>
    <w:charset w:val="86"/>
    <w:family w:val="swiss"/>
    <w:pitch w:val="default"/>
    <w:sig w:usb0="80000287" w:usb1="280F3C52" w:usb2="00000016" w:usb3="00000000" w:csb0="0004001F" w:csb1="00000000"/>
    <w:embedRegular r:id="rId7" w:fontKey="{A39A4341-46B4-4C93-8E9C-6F9E2128E268}"/>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F8BDD">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F1FBB">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696B3">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1A903">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AFAA3">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DCA02">
                          <w:pPr>
                            <w:pStyle w:val="11"/>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25DCA02">
                    <w:pPr>
                      <w:pStyle w:val="11"/>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F8BDC">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1NWExMjdjNzY3MGFlNDc0MDJhNThmNTdmZWM2MjkifQ=="/>
  </w:docVars>
  <w:rsids>
    <w:rsidRoot w:val="0BB2528C"/>
    <w:rsid w:val="00035745"/>
    <w:rsid w:val="00046638"/>
    <w:rsid w:val="000531F0"/>
    <w:rsid w:val="00080773"/>
    <w:rsid w:val="000814C0"/>
    <w:rsid w:val="000E187B"/>
    <w:rsid w:val="000E35C6"/>
    <w:rsid w:val="000E732C"/>
    <w:rsid w:val="00115BD1"/>
    <w:rsid w:val="00162287"/>
    <w:rsid w:val="00167A40"/>
    <w:rsid w:val="001B4A5B"/>
    <w:rsid w:val="001C106C"/>
    <w:rsid w:val="001D1D89"/>
    <w:rsid w:val="001D403E"/>
    <w:rsid w:val="001E663A"/>
    <w:rsid w:val="00214F60"/>
    <w:rsid w:val="00226683"/>
    <w:rsid w:val="0023320D"/>
    <w:rsid w:val="002964DF"/>
    <w:rsid w:val="002C6ABE"/>
    <w:rsid w:val="002D57F6"/>
    <w:rsid w:val="002E38AC"/>
    <w:rsid w:val="003066F4"/>
    <w:rsid w:val="00334682"/>
    <w:rsid w:val="0038751C"/>
    <w:rsid w:val="00390D66"/>
    <w:rsid w:val="003D241C"/>
    <w:rsid w:val="0041354A"/>
    <w:rsid w:val="004208A7"/>
    <w:rsid w:val="0044103B"/>
    <w:rsid w:val="004707B9"/>
    <w:rsid w:val="00485A89"/>
    <w:rsid w:val="004B0807"/>
    <w:rsid w:val="004D70A0"/>
    <w:rsid w:val="004E1770"/>
    <w:rsid w:val="004E7B15"/>
    <w:rsid w:val="00522E2B"/>
    <w:rsid w:val="005277D3"/>
    <w:rsid w:val="0052797B"/>
    <w:rsid w:val="0053479A"/>
    <w:rsid w:val="005564A0"/>
    <w:rsid w:val="00560F58"/>
    <w:rsid w:val="00570C03"/>
    <w:rsid w:val="005C2948"/>
    <w:rsid w:val="00617743"/>
    <w:rsid w:val="00641F10"/>
    <w:rsid w:val="0065265B"/>
    <w:rsid w:val="00656DB9"/>
    <w:rsid w:val="00686CB9"/>
    <w:rsid w:val="006A2B08"/>
    <w:rsid w:val="006D1CD0"/>
    <w:rsid w:val="006F5A03"/>
    <w:rsid w:val="00707318"/>
    <w:rsid w:val="00707A83"/>
    <w:rsid w:val="00734D45"/>
    <w:rsid w:val="0074618A"/>
    <w:rsid w:val="007622DF"/>
    <w:rsid w:val="00764319"/>
    <w:rsid w:val="007D29CE"/>
    <w:rsid w:val="007E6CE9"/>
    <w:rsid w:val="00814CD6"/>
    <w:rsid w:val="008349B4"/>
    <w:rsid w:val="00887EB8"/>
    <w:rsid w:val="008A6B0D"/>
    <w:rsid w:val="008E7746"/>
    <w:rsid w:val="00904C27"/>
    <w:rsid w:val="0090553A"/>
    <w:rsid w:val="0092214C"/>
    <w:rsid w:val="009365A2"/>
    <w:rsid w:val="0096646B"/>
    <w:rsid w:val="0097515D"/>
    <w:rsid w:val="00981123"/>
    <w:rsid w:val="009855BE"/>
    <w:rsid w:val="009F2040"/>
    <w:rsid w:val="00A00E60"/>
    <w:rsid w:val="00A07B6F"/>
    <w:rsid w:val="00A17750"/>
    <w:rsid w:val="00AE4F46"/>
    <w:rsid w:val="00AF2B36"/>
    <w:rsid w:val="00AF3533"/>
    <w:rsid w:val="00B000E3"/>
    <w:rsid w:val="00B06B45"/>
    <w:rsid w:val="00B40813"/>
    <w:rsid w:val="00B40ADA"/>
    <w:rsid w:val="00B41CEE"/>
    <w:rsid w:val="00B47038"/>
    <w:rsid w:val="00B53C99"/>
    <w:rsid w:val="00B92805"/>
    <w:rsid w:val="00B92BB6"/>
    <w:rsid w:val="00BA1035"/>
    <w:rsid w:val="00BC6112"/>
    <w:rsid w:val="00BD0092"/>
    <w:rsid w:val="00C04FCB"/>
    <w:rsid w:val="00C16B73"/>
    <w:rsid w:val="00C510C6"/>
    <w:rsid w:val="00C66F88"/>
    <w:rsid w:val="00C84BCB"/>
    <w:rsid w:val="00CA2E30"/>
    <w:rsid w:val="00CB61ED"/>
    <w:rsid w:val="00CC1616"/>
    <w:rsid w:val="00CC1D1B"/>
    <w:rsid w:val="00CF2C6E"/>
    <w:rsid w:val="00D261BD"/>
    <w:rsid w:val="00D26553"/>
    <w:rsid w:val="00D507E0"/>
    <w:rsid w:val="00D6234B"/>
    <w:rsid w:val="00D93109"/>
    <w:rsid w:val="00DC01C1"/>
    <w:rsid w:val="00DD3537"/>
    <w:rsid w:val="00DD5B89"/>
    <w:rsid w:val="00DF62B2"/>
    <w:rsid w:val="00E13147"/>
    <w:rsid w:val="00E45387"/>
    <w:rsid w:val="00E52121"/>
    <w:rsid w:val="00E70789"/>
    <w:rsid w:val="00E76D3B"/>
    <w:rsid w:val="00E840E6"/>
    <w:rsid w:val="00ED3451"/>
    <w:rsid w:val="00ED71B8"/>
    <w:rsid w:val="00EE1177"/>
    <w:rsid w:val="00EE1329"/>
    <w:rsid w:val="00EE7B25"/>
    <w:rsid w:val="00F12530"/>
    <w:rsid w:val="00F1542C"/>
    <w:rsid w:val="00F16713"/>
    <w:rsid w:val="00F25445"/>
    <w:rsid w:val="00F61A07"/>
    <w:rsid w:val="00F65FA3"/>
    <w:rsid w:val="00F735B9"/>
    <w:rsid w:val="00FC2E99"/>
    <w:rsid w:val="00FC6CBD"/>
    <w:rsid w:val="00FD2908"/>
    <w:rsid w:val="01923129"/>
    <w:rsid w:val="02C9306E"/>
    <w:rsid w:val="0328721C"/>
    <w:rsid w:val="03385005"/>
    <w:rsid w:val="03B9698F"/>
    <w:rsid w:val="03FF1347"/>
    <w:rsid w:val="05A20801"/>
    <w:rsid w:val="06456265"/>
    <w:rsid w:val="066E5B00"/>
    <w:rsid w:val="0671705A"/>
    <w:rsid w:val="068C79F0"/>
    <w:rsid w:val="07BE7A6A"/>
    <w:rsid w:val="08282F94"/>
    <w:rsid w:val="084762C4"/>
    <w:rsid w:val="08A578B3"/>
    <w:rsid w:val="09227DCD"/>
    <w:rsid w:val="09695610"/>
    <w:rsid w:val="098D42FF"/>
    <w:rsid w:val="0B162AFD"/>
    <w:rsid w:val="0BB2528C"/>
    <w:rsid w:val="0C835B39"/>
    <w:rsid w:val="0D0E3435"/>
    <w:rsid w:val="0DF30354"/>
    <w:rsid w:val="0E5A2F97"/>
    <w:rsid w:val="0FC417B7"/>
    <w:rsid w:val="0FD634D6"/>
    <w:rsid w:val="0FFFE73B"/>
    <w:rsid w:val="128F7357"/>
    <w:rsid w:val="13375983"/>
    <w:rsid w:val="14482041"/>
    <w:rsid w:val="16113A6D"/>
    <w:rsid w:val="166E2C6E"/>
    <w:rsid w:val="16997C28"/>
    <w:rsid w:val="16F13FCB"/>
    <w:rsid w:val="178E153D"/>
    <w:rsid w:val="17AD6699"/>
    <w:rsid w:val="18CC2E52"/>
    <w:rsid w:val="1943440C"/>
    <w:rsid w:val="1A226249"/>
    <w:rsid w:val="1CD32CF2"/>
    <w:rsid w:val="1D6C2E08"/>
    <w:rsid w:val="1E13347E"/>
    <w:rsid w:val="1F3B2291"/>
    <w:rsid w:val="1FD85300"/>
    <w:rsid w:val="208337BA"/>
    <w:rsid w:val="21296432"/>
    <w:rsid w:val="21B320A6"/>
    <w:rsid w:val="22AC6E9F"/>
    <w:rsid w:val="23D76582"/>
    <w:rsid w:val="2403533D"/>
    <w:rsid w:val="276BA206"/>
    <w:rsid w:val="28AC1005"/>
    <w:rsid w:val="28E652BC"/>
    <w:rsid w:val="29127DD1"/>
    <w:rsid w:val="291D0C4F"/>
    <w:rsid w:val="2B1118F1"/>
    <w:rsid w:val="2B8A6514"/>
    <w:rsid w:val="2B8B6A03"/>
    <w:rsid w:val="2C0B3654"/>
    <w:rsid w:val="2C4B5AD3"/>
    <w:rsid w:val="2DE7BFA2"/>
    <w:rsid w:val="2F10522B"/>
    <w:rsid w:val="2F1B570A"/>
    <w:rsid w:val="2F26644D"/>
    <w:rsid w:val="2F4B7B98"/>
    <w:rsid w:val="301A1DEF"/>
    <w:rsid w:val="30BF27B9"/>
    <w:rsid w:val="30ED7658"/>
    <w:rsid w:val="311A1F18"/>
    <w:rsid w:val="315C2379"/>
    <w:rsid w:val="316E220B"/>
    <w:rsid w:val="331E7C2D"/>
    <w:rsid w:val="33C87941"/>
    <w:rsid w:val="34012F1B"/>
    <w:rsid w:val="357A11D7"/>
    <w:rsid w:val="35C0308E"/>
    <w:rsid w:val="35ED94C4"/>
    <w:rsid w:val="367F54A2"/>
    <w:rsid w:val="379462A2"/>
    <w:rsid w:val="38D8249D"/>
    <w:rsid w:val="391E02A2"/>
    <w:rsid w:val="39480562"/>
    <w:rsid w:val="39520D87"/>
    <w:rsid w:val="3A840904"/>
    <w:rsid w:val="3ADA19A8"/>
    <w:rsid w:val="3B7930D1"/>
    <w:rsid w:val="3BFDE03E"/>
    <w:rsid w:val="3C0459D4"/>
    <w:rsid w:val="3D77BB59"/>
    <w:rsid w:val="3D984388"/>
    <w:rsid w:val="3DF6D624"/>
    <w:rsid w:val="3E2F454E"/>
    <w:rsid w:val="3E3D8B27"/>
    <w:rsid w:val="3EF97564"/>
    <w:rsid w:val="3EFB1469"/>
    <w:rsid w:val="3F6C7012"/>
    <w:rsid w:val="3FA03C92"/>
    <w:rsid w:val="3FD30E74"/>
    <w:rsid w:val="3FFFE046"/>
    <w:rsid w:val="40877CD4"/>
    <w:rsid w:val="408B24EB"/>
    <w:rsid w:val="40B47558"/>
    <w:rsid w:val="40C30DD4"/>
    <w:rsid w:val="416E54B6"/>
    <w:rsid w:val="42263331"/>
    <w:rsid w:val="428E7953"/>
    <w:rsid w:val="435064ED"/>
    <w:rsid w:val="436C5E86"/>
    <w:rsid w:val="442009CC"/>
    <w:rsid w:val="44CF3FDD"/>
    <w:rsid w:val="46344F69"/>
    <w:rsid w:val="465A615A"/>
    <w:rsid w:val="473531B0"/>
    <w:rsid w:val="47BE626F"/>
    <w:rsid w:val="47DD2C4C"/>
    <w:rsid w:val="4820176A"/>
    <w:rsid w:val="48201802"/>
    <w:rsid w:val="484A5ADB"/>
    <w:rsid w:val="48527770"/>
    <w:rsid w:val="49BEA0E2"/>
    <w:rsid w:val="4A1436E1"/>
    <w:rsid w:val="4A401C79"/>
    <w:rsid w:val="4AC46D25"/>
    <w:rsid w:val="4BF20248"/>
    <w:rsid w:val="4C395A59"/>
    <w:rsid w:val="4C983FC5"/>
    <w:rsid w:val="4DDE5249"/>
    <w:rsid w:val="4E651641"/>
    <w:rsid w:val="4EDD795C"/>
    <w:rsid w:val="50196334"/>
    <w:rsid w:val="504F6D87"/>
    <w:rsid w:val="509D0090"/>
    <w:rsid w:val="51523EF4"/>
    <w:rsid w:val="51577752"/>
    <w:rsid w:val="51B9467C"/>
    <w:rsid w:val="52DB10EA"/>
    <w:rsid w:val="531C3171"/>
    <w:rsid w:val="531E2E98"/>
    <w:rsid w:val="538A5B0B"/>
    <w:rsid w:val="54DD1F12"/>
    <w:rsid w:val="55233B6B"/>
    <w:rsid w:val="560816A7"/>
    <w:rsid w:val="570644D0"/>
    <w:rsid w:val="57431689"/>
    <w:rsid w:val="57732B55"/>
    <w:rsid w:val="57CE5B55"/>
    <w:rsid w:val="57DE3BDF"/>
    <w:rsid w:val="57FA443E"/>
    <w:rsid w:val="58E65065"/>
    <w:rsid w:val="599B50F5"/>
    <w:rsid w:val="5A1E37CC"/>
    <w:rsid w:val="5B0373F5"/>
    <w:rsid w:val="5BEF3002"/>
    <w:rsid w:val="5BF3C596"/>
    <w:rsid w:val="5BFF5193"/>
    <w:rsid w:val="5CFBB003"/>
    <w:rsid w:val="5D47A47E"/>
    <w:rsid w:val="5DA31B1A"/>
    <w:rsid w:val="5DAFD566"/>
    <w:rsid w:val="5DFB75E7"/>
    <w:rsid w:val="5E5166CA"/>
    <w:rsid w:val="5E9FAA90"/>
    <w:rsid w:val="5EFF1468"/>
    <w:rsid w:val="5F166785"/>
    <w:rsid w:val="5F1C4262"/>
    <w:rsid w:val="5FB9766F"/>
    <w:rsid w:val="5FCBC994"/>
    <w:rsid w:val="5FED259B"/>
    <w:rsid w:val="5FEE8AF2"/>
    <w:rsid w:val="6038522D"/>
    <w:rsid w:val="60712937"/>
    <w:rsid w:val="61451319"/>
    <w:rsid w:val="621C6FEF"/>
    <w:rsid w:val="652A53E0"/>
    <w:rsid w:val="65755C04"/>
    <w:rsid w:val="65DB74DE"/>
    <w:rsid w:val="66897FFD"/>
    <w:rsid w:val="66EA76BB"/>
    <w:rsid w:val="68F6A3F1"/>
    <w:rsid w:val="69EFD230"/>
    <w:rsid w:val="6A7E3BE9"/>
    <w:rsid w:val="6A802AEA"/>
    <w:rsid w:val="6B2111D2"/>
    <w:rsid w:val="6B215C56"/>
    <w:rsid w:val="6B5F5898"/>
    <w:rsid w:val="6B9E74F4"/>
    <w:rsid w:val="6C47066D"/>
    <w:rsid w:val="6C9B4F7B"/>
    <w:rsid w:val="6CFD1416"/>
    <w:rsid w:val="6D220909"/>
    <w:rsid w:val="6EB85533"/>
    <w:rsid w:val="6EBF33D7"/>
    <w:rsid w:val="6EFF7382"/>
    <w:rsid w:val="6FB22A3C"/>
    <w:rsid w:val="6FCB3B3C"/>
    <w:rsid w:val="6FDECC62"/>
    <w:rsid w:val="6FDF5A2E"/>
    <w:rsid w:val="6FEE26BA"/>
    <w:rsid w:val="6FF21616"/>
    <w:rsid w:val="6FFE6322"/>
    <w:rsid w:val="707F454F"/>
    <w:rsid w:val="70A347DD"/>
    <w:rsid w:val="713724D3"/>
    <w:rsid w:val="71BE777B"/>
    <w:rsid w:val="72165718"/>
    <w:rsid w:val="721D27C5"/>
    <w:rsid w:val="72DF3FF7"/>
    <w:rsid w:val="72FF629D"/>
    <w:rsid w:val="73110202"/>
    <w:rsid w:val="733824D8"/>
    <w:rsid w:val="747E3CE4"/>
    <w:rsid w:val="74F10FE9"/>
    <w:rsid w:val="750C2104"/>
    <w:rsid w:val="75197346"/>
    <w:rsid w:val="75BAC034"/>
    <w:rsid w:val="75DE8ED3"/>
    <w:rsid w:val="75FD48FD"/>
    <w:rsid w:val="75FFFDB9"/>
    <w:rsid w:val="769E60A6"/>
    <w:rsid w:val="76ADA149"/>
    <w:rsid w:val="76DF2E3F"/>
    <w:rsid w:val="77199193"/>
    <w:rsid w:val="77430E0A"/>
    <w:rsid w:val="77F51D1A"/>
    <w:rsid w:val="77F75CAC"/>
    <w:rsid w:val="77FF4F05"/>
    <w:rsid w:val="77FFA05B"/>
    <w:rsid w:val="781B4AD9"/>
    <w:rsid w:val="784F48C7"/>
    <w:rsid w:val="78B34A68"/>
    <w:rsid w:val="78F9E2F5"/>
    <w:rsid w:val="79644148"/>
    <w:rsid w:val="79690914"/>
    <w:rsid w:val="797A39DC"/>
    <w:rsid w:val="79FB6763"/>
    <w:rsid w:val="7ACF0EB1"/>
    <w:rsid w:val="7B4B69EE"/>
    <w:rsid w:val="7B6ECC44"/>
    <w:rsid w:val="7B7F2B22"/>
    <w:rsid w:val="7BB11DA9"/>
    <w:rsid w:val="7BD80073"/>
    <w:rsid w:val="7BDDA157"/>
    <w:rsid w:val="7C5E2A98"/>
    <w:rsid w:val="7CB5B7CB"/>
    <w:rsid w:val="7CBF127A"/>
    <w:rsid w:val="7CD9190C"/>
    <w:rsid w:val="7D357744"/>
    <w:rsid w:val="7D7FE168"/>
    <w:rsid w:val="7DD34621"/>
    <w:rsid w:val="7DF78074"/>
    <w:rsid w:val="7DFB2511"/>
    <w:rsid w:val="7DFB7066"/>
    <w:rsid w:val="7DFF48AB"/>
    <w:rsid w:val="7E447259"/>
    <w:rsid w:val="7E4F632A"/>
    <w:rsid w:val="7EA5617D"/>
    <w:rsid w:val="7ED73F9B"/>
    <w:rsid w:val="7EDFB7F8"/>
    <w:rsid w:val="7EF39D45"/>
    <w:rsid w:val="7EFF59D2"/>
    <w:rsid w:val="7EFFC335"/>
    <w:rsid w:val="7EFFED7B"/>
    <w:rsid w:val="7F7C22B8"/>
    <w:rsid w:val="7F7F9E5F"/>
    <w:rsid w:val="7F83ED84"/>
    <w:rsid w:val="7F935C7B"/>
    <w:rsid w:val="7FBD9904"/>
    <w:rsid w:val="7FBEEFFF"/>
    <w:rsid w:val="7FDF1105"/>
    <w:rsid w:val="7FFBB4D8"/>
    <w:rsid w:val="7FFD7DEE"/>
    <w:rsid w:val="7FFF569C"/>
    <w:rsid w:val="7FFF7263"/>
    <w:rsid w:val="7FFF824C"/>
    <w:rsid w:val="891F6963"/>
    <w:rsid w:val="8BD33406"/>
    <w:rsid w:val="8FE5FFE9"/>
    <w:rsid w:val="97BF8107"/>
    <w:rsid w:val="9BF5F810"/>
    <w:rsid w:val="9D7E17FA"/>
    <w:rsid w:val="9DE2E35C"/>
    <w:rsid w:val="9EB353F0"/>
    <w:rsid w:val="9F9F6DC0"/>
    <w:rsid w:val="9FFAA943"/>
    <w:rsid w:val="A655B988"/>
    <w:rsid w:val="A7EF8644"/>
    <w:rsid w:val="A7FD6A17"/>
    <w:rsid w:val="AB7F764A"/>
    <w:rsid w:val="ADB720DE"/>
    <w:rsid w:val="AE1B4955"/>
    <w:rsid w:val="AFFF3523"/>
    <w:rsid w:val="B7DFF26B"/>
    <w:rsid w:val="B97A6480"/>
    <w:rsid w:val="BB3E0A14"/>
    <w:rsid w:val="BBBD9BAA"/>
    <w:rsid w:val="BBBF7EBB"/>
    <w:rsid w:val="BC1B560D"/>
    <w:rsid w:val="BCFFB763"/>
    <w:rsid w:val="BEDF1AD8"/>
    <w:rsid w:val="BEDF8C4A"/>
    <w:rsid w:val="BEFD7CF5"/>
    <w:rsid w:val="BEFE747D"/>
    <w:rsid w:val="BF52F0E0"/>
    <w:rsid w:val="BFBFB821"/>
    <w:rsid w:val="CBF76891"/>
    <w:rsid w:val="D13308D0"/>
    <w:rsid w:val="D57F0850"/>
    <w:rsid w:val="D64DAA9A"/>
    <w:rsid w:val="D7FBAD29"/>
    <w:rsid w:val="DA6CCC34"/>
    <w:rsid w:val="DA71F5AD"/>
    <w:rsid w:val="DD771543"/>
    <w:rsid w:val="DDDDA9D1"/>
    <w:rsid w:val="DEDC3FF7"/>
    <w:rsid w:val="DF2977AE"/>
    <w:rsid w:val="DFFF96CB"/>
    <w:rsid w:val="E5EBC53A"/>
    <w:rsid w:val="E7DA1486"/>
    <w:rsid w:val="EAF188A0"/>
    <w:rsid w:val="EBB7203F"/>
    <w:rsid w:val="EBEB2804"/>
    <w:rsid w:val="EC5F1B2C"/>
    <w:rsid w:val="EC8BD75B"/>
    <w:rsid w:val="EE7A846C"/>
    <w:rsid w:val="EECE55E4"/>
    <w:rsid w:val="EEDF0C2A"/>
    <w:rsid w:val="EEF7AF77"/>
    <w:rsid w:val="EF7FAFC6"/>
    <w:rsid w:val="EF9FABE7"/>
    <w:rsid w:val="EFB0875D"/>
    <w:rsid w:val="EFEB0595"/>
    <w:rsid w:val="EFEBB8D4"/>
    <w:rsid w:val="EFF24627"/>
    <w:rsid w:val="F09EFBC4"/>
    <w:rsid w:val="F1FBD100"/>
    <w:rsid w:val="F23DC4CB"/>
    <w:rsid w:val="F3BF0F29"/>
    <w:rsid w:val="F3EF6661"/>
    <w:rsid w:val="F5164049"/>
    <w:rsid w:val="F526D743"/>
    <w:rsid w:val="F73F6BAD"/>
    <w:rsid w:val="F778632B"/>
    <w:rsid w:val="F77B0ED0"/>
    <w:rsid w:val="F77EB48F"/>
    <w:rsid w:val="F7912CAE"/>
    <w:rsid w:val="F7D02E2A"/>
    <w:rsid w:val="F7DB0F88"/>
    <w:rsid w:val="F7E786F6"/>
    <w:rsid w:val="F7FD5C15"/>
    <w:rsid w:val="F7FFF6B2"/>
    <w:rsid w:val="F89FD05D"/>
    <w:rsid w:val="F9573E99"/>
    <w:rsid w:val="FAEF3CE4"/>
    <w:rsid w:val="FBBBE8EF"/>
    <w:rsid w:val="FBE93284"/>
    <w:rsid w:val="FBF18F74"/>
    <w:rsid w:val="FBFBF42E"/>
    <w:rsid w:val="FBFD1267"/>
    <w:rsid w:val="FBFD3BC1"/>
    <w:rsid w:val="FBFDD533"/>
    <w:rsid w:val="FD6710A9"/>
    <w:rsid w:val="FD7DBFEC"/>
    <w:rsid w:val="FD7F61AB"/>
    <w:rsid w:val="FDD18F64"/>
    <w:rsid w:val="FDEDAC5E"/>
    <w:rsid w:val="FDF4A17C"/>
    <w:rsid w:val="FDFBBAED"/>
    <w:rsid w:val="FDFFC5A8"/>
    <w:rsid w:val="FE8BB34F"/>
    <w:rsid w:val="FEDE9586"/>
    <w:rsid w:val="FEEEE6BF"/>
    <w:rsid w:val="FEEF5DA9"/>
    <w:rsid w:val="FEFFE738"/>
    <w:rsid w:val="FF5F0322"/>
    <w:rsid w:val="FF752074"/>
    <w:rsid w:val="FF7EA8A8"/>
    <w:rsid w:val="FF7F9040"/>
    <w:rsid w:val="FFAFCEA4"/>
    <w:rsid w:val="FFBE4D2B"/>
    <w:rsid w:val="FFCFB44F"/>
    <w:rsid w:val="FFDEC015"/>
    <w:rsid w:val="FFDF6AE1"/>
    <w:rsid w:val="FFE3FF76"/>
    <w:rsid w:val="FFE6000B"/>
    <w:rsid w:val="FFEB134A"/>
    <w:rsid w:val="FFF49647"/>
    <w:rsid w:val="FFF75C36"/>
    <w:rsid w:val="FFFD7DCC"/>
    <w:rsid w:val="FFFFF8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spacing w:line="600" w:lineRule="exact"/>
      <w:ind w:firstLine="640" w:firstLineChars="20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qFormat/>
    <w:uiPriority w:val="0"/>
    <w:pPr>
      <w:ind w:firstLine="0" w:firstLineChars="0"/>
      <w:jc w:val="center"/>
      <w:outlineLvl w:val="0"/>
    </w:pPr>
    <w:rPr>
      <w:rFonts w:eastAsia="黑体"/>
      <w:kern w:val="44"/>
      <w:lang w:eastAsia="zh"/>
      <w:woUserID w:val="1"/>
    </w:rPr>
  </w:style>
  <w:style w:type="paragraph" w:styleId="3">
    <w:name w:val="heading 2"/>
    <w:basedOn w:val="1"/>
    <w:next w:val="1"/>
    <w:link w:val="24"/>
    <w:unhideWhenUsed/>
    <w:qFormat/>
    <w:uiPriority w:val="0"/>
    <w:pPr>
      <w:keepNext/>
      <w:keepLines/>
      <w:ind w:firstLine="0" w:firstLineChars="0"/>
      <w:jc w:val="center"/>
      <w:outlineLvl w:val="1"/>
    </w:pPr>
    <w:rPr>
      <w:rFonts w:eastAsia="楷体_GB2312"/>
      <w:b/>
      <w:highlight w:val="none"/>
      <w:lang w:eastAsia="zh"/>
      <w:woUserID w:val="3"/>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b/>
      <w:bCs/>
      <w:kern w:val="0"/>
      <w:sz w:val="27"/>
      <w:szCs w:val="27"/>
    </w:rPr>
  </w:style>
  <w:style w:type="paragraph" w:styleId="5">
    <w:name w:val="heading 4"/>
    <w:next w:val="1"/>
    <w:semiHidden/>
    <w:unhideWhenUsed/>
    <w:qFormat/>
    <w:uiPriority w:val="0"/>
    <w:pPr>
      <w:keepNext w:val="0"/>
      <w:keepLines w:val="0"/>
      <w:widowControl w:val="0"/>
      <w:suppressLineNumbers w:val="0"/>
      <w:spacing w:before="0" w:beforeAutospacing="0" w:after="0" w:afterAutospacing="0" w:line="360" w:lineRule="auto"/>
      <w:ind w:left="0" w:right="0" w:firstLine="703" w:firstLineChars="200"/>
      <w:jc w:val="both"/>
      <w:outlineLvl w:val="3"/>
    </w:pPr>
    <w:rPr>
      <w:rFonts w:hint="default" w:ascii="仿宋_GB2312" w:hAnsi="宋体" w:eastAsia="仿宋_GB2312" w:cs="Times New Roman"/>
      <w:b/>
      <w:bCs/>
      <w:kern w:val="2"/>
      <w:sz w:val="28"/>
      <w:szCs w:val="28"/>
      <w:lang w:val="en-US" w:eastAsia="zh-CN" w:bidi="ar"/>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semiHidden/>
    <w:unhideWhenUsed/>
    <w:qFormat/>
    <w:uiPriority w:val="0"/>
    <w:pPr>
      <w:jc w:val="center"/>
    </w:pPr>
    <w:rPr>
      <w:sz w:val="28"/>
      <w:szCs w:val="28"/>
    </w:rPr>
  </w:style>
  <w:style w:type="paragraph" w:styleId="7">
    <w:name w:val="annotation text"/>
    <w:basedOn w:val="1"/>
    <w:qFormat/>
    <w:uiPriority w:val="0"/>
    <w:pPr>
      <w:jc w:val="left"/>
    </w:pPr>
  </w:style>
  <w:style w:type="paragraph" w:styleId="8">
    <w:name w:val="Body Text"/>
    <w:basedOn w:val="1"/>
    <w:qFormat/>
    <w:uiPriority w:val="99"/>
    <w:rPr>
      <w:rFonts w:ascii="Calibri" w:hAnsi="Calibri" w:cs="Calibri"/>
    </w:rPr>
  </w:style>
  <w:style w:type="paragraph" w:styleId="9">
    <w:name w:val="Body Text Indent"/>
    <w:basedOn w:val="1"/>
    <w:qFormat/>
    <w:uiPriority w:val="0"/>
    <w:pPr>
      <w:spacing w:after="120"/>
      <w:ind w:left="420" w:leftChars="200"/>
    </w:pPr>
  </w:style>
  <w:style w:type="paragraph" w:styleId="10">
    <w:name w:val="Plain Text"/>
    <w:basedOn w:val="1"/>
    <w:qFormat/>
    <w:uiPriority w:val="0"/>
    <w:pPr>
      <w:keepNext w:val="0"/>
      <w:keepLines w:val="0"/>
      <w:widowControl w:val="0"/>
      <w:suppressLineNumbers w:val="0"/>
      <w:overflowPunct w:val="0"/>
      <w:spacing w:before="0" w:beforeAutospacing="0" w:after="0" w:afterAutospacing="0" w:line="600" w:lineRule="exact"/>
      <w:ind w:left="0" w:right="0" w:firstLine="640" w:firstLineChars="200"/>
      <w:jc w:val="both"/>
    </w:pPr>
    <w:rPr>
      <w:rFonts w:hint="eastAsia" w:ascii="宋体" w:hAnsi="Courier New" w:eastAsia="宋体" w:cs="Courier New"/>
      <w:kern w:val="2"/>
      <w:sz w:val="21"/>
      <w:szCs w:val="21"/>
      <w:lang w:val="en-US" w:eastAsia="zh-CN" w:bidi="ar"/>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rPr>
      <w:sz w:val="24"/>
    </w:rPr>
  </w:style>
  <w:style w:type="paragraph" w:styleId="16">
    <w:name w:val="Body Text First Indent 2"/>
    <w:basedOn w:val="9"/>
    <w:next w:val="1"/>
    <w:qFormat/>
    <w:uiPriority w:val="0"/>
    <w:rPr>
      <w:rFonts w:ascii="Calibri" w:hAnsi="Calibri" w:eastAsia="宋体"/>
    </w:rPr>
  </w:style>
  <w:style w:type="table" w:styleId="18">
    <w:name w:val="Table Grid"/>
    <w:basedOn w:val="1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0">
    <w:name w:val="Strong"/>
    <w:basedOn w:val="19"/>
    <w:qFormat/>
    <w:uiPriority w:val="0"/>
    <w:rPr>
      <w:b/>
    </w:rPr>
  </w:style>
  <w:style w:type="character" w:styleId="21">
    <w:name w:val="Hyperlink"/>
    <w:basedOn w:val="19"/>
    <w:qFormat/>
    <w:uiPriority w:val="0"/>
    <w:rPr>
      <w:color w:val="0000FF"/>
      <w:u w:val="single"/>
    </w:rPr>
  </w:style>
  <w:style w:type="character" w:styleId="22">
    <w:name w:val="annotation reference"/>
    <w:basedOn w:val="19"/>
    <w:qFormat/>
    <w:uiPriority w:val="0"/>
    <w:rPr>
      <w:sz w:val="21"/>
      <w:szCs w:val="21"/>
    </w:rPr>
  </w:style>
  <w:style w:type="paragraph" w:customStyle="1" w:styleId="23">
    <w:name w:val="BodyText"/>
    <w:basedOn w:val="1"/>
    <w:qFormat/>
    <w:uiPriority w:val="0"/>
    <w:pPr>
      <w:spacing w:after="120"/>
    </w:pPr>
  </w:style>
  <w:style w:type="character" w:customStyle="1" w:styleId="24">
    <w:name w:val="标题 2 字符"/>
    <w:link w:val="3"/>
    <w:qFormat/>
    <w:uiPriority w:val="0"/>
    <w:rPr>
      <w:rFonts w:ascii="Times New Roman" w:hAnsi="Times New Roman" w:eastAsia="楷体_GB2312" w:cs="Times New Roman"/>
      <w:b/>
      <w:kern w:val="2"/>
      <w:sz w:val="32"/>
      <w:szCs w:val="32"/>
      <w:highlight w:val="none"/>
      <w:lang w:val="en-US" w:eastAsia="zh" w:bidi="ar-SA"/>
      <w:woUserID w:val="3"/>
    </w:rPr>
  </w:style>
  <w:style w:type="paragraph" w:customStyle="1" w:styleId="25">
    <w:name w:val="Revision"/>
    <w:hidden/>
    <w:unhideWhenUsed/>
    <w:qFormat/>
    <w:uiPriority w:val="99"/>
    <w:rPr>
      <w:rFonts w:ascii="Times New Roman" w:hAnsi="Times New Roman" w:eastAsia="仿宋_GB2312" w:cs="Times New Roman"/>
      <w:kern w:val="2"/>
      <w:sz w:val="32"/>
      <w:szCs w:val="32"/>
      <w:lang w:val="en-US" w:eastAsia="zh-CN" w:bidi="ar-SA"/>
    </w:rPr>
  </w:style>
  <w:style w:type="character" w:customStyle="1" w:styleId="26">
    <w:name w:val="15"/>
    <w:basedOn w:val="19"/>
    <w:qFormat/>
    <w:uiPriority w:val="0"/>
    <w:rPr>
      <w:rFonts w:hint="default" w:ascii="Calibri" w:hAnsi="Calibri" w:cs="Calibri"/>
    </w:rPr>
  </w:style>
  <w:style w:type="character" w:customStyle="1" w:styleId="27">
    <w:name w:val="10"/>
    <w:basedOn w:val="19"/>
    <w:qFormat/>
    <w:uiPriority w:val="0"/>
    <w:rPr>
      <w:rFonts w:hint="default" w:ascii="Calibri" w:hAnsi="Calibri" w:cs="Calibri"/>
    </w:rPr>
  </w:style>
  <w:style w:type="paragraph" w:customStyle="1" w:styleId="28">
    <w:name w:val="专栏内容"/>
    <w:basedOn w:val="1"/>
    <w:qFormat/>
    <w:uiPriority w:val="0"/>
    <w:pPr>
      <w:keepNext w:val="0"/>
      <w:keepLines w:val="0"/>
      <w:widowControl w:val="0"/>
      <w:suppressLineNumbers w:val="0"/>
      <w:pBdr>
        <w:top w:val="none" w:color="auto" w:sz="0" w:space="0"/>
        <w:left w:val="single" w:color="auto" w:sz="4" w:space="4"/>
        <w:bottom w:val="single" w:color="auto" w:sz="4" w:space="1"/>
        <w:right w:val="single" w:color="auto" w:sz="4" w:space="4"/>
      </w:pBdr>
      <w:spacing w:before="0" w:beforeLines="0" w:beforeAutospacing="0" w:after="0" w:afterLines="0" w:afterAutospacing="0" w:line="240" w:lineRule="auto"/>
      <w:ind w:firstLine="420" w:firstLineChars="200"/>
      <w:jc w:val="left"/>
    </w:pPr>
    <w:rPr>
      <w:rFonts w:hint="default" w:ascii="Times New Roman" w:hAnsi="Times New Roman" w:eastAsia="宋体" w:cs="宋体"/>
      <w:bCs/>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112</Pages>
  <Words>10401</Words>
  <Characters>10675</Characters>
  <Lines>1</Lines>
  <Paragraphs>1</Paragraphs>
  <TotalTime>50</TotalTime>
  <ScaleCrop>false</ScaleCrop>
  <LinksUpToDate>false</LinksUpToDate>
  <CharactersWithSpaces>10993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2025-12-01T15:02:00Z</dcterms:created>
  <dc:creator>杨琳</dc:creator>
  <cp:lastModifiedBy>龍</cp:lastModifiedBy>
  <cp:lastPrinted>2026-06-18T05:42:00Z</cp:lastPrinted>
  <dcterms:modified xsi:type="dcterms:W3CDTF">2026-06-18T06:21:35Z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0C571BA21C684F2F82F85BA51FA6745B_13</vt:lpwstr>
  </property>
  <property fmtid="{D5CDD505-2E9C-101B-9397-08002B2CF9AE}" pid="4" name="KSOTemplateDocerSaveRecord">
    <vt:lpwstr>eyJoZGlkIjoiMmVhZWM0YzkzOWNhNTllOTBjZWU3YzQyNmViZjgxYmIiLCJ1c2VySWQiOiI0MzE0ODc2MjgifQ==</vt:lpwstr>
  </property>
</Properties>
</file>