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</w:rPr>
      </w:pPr>
      <w:r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  <w:lang w:val="en-US" w:eastAsia="zh-CN"/>
        </w:rPr>
        <w:t>2021年</w:t>
      </w:r>
      <w:r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  <w:lang w:eastAsia="zh-CN"/>
        </w:rPr>
        <w:t>东风区商务和经济合作局</w:t>
      </w:r>
      <w:r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</w:rPr>
        <w:t>政府信息公开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</w:rPr>
      </w:pPr>
      <w:r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</w:rPr>
        <w:t>工作年度报告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一、总体情况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7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东风区商务和经济合作局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  <w:t>公开工作按照政府信息中心的统一部署，继续坚持以科学发展观为指导，按照切实加强组织领导，继续完善公开工作机制，创新公开内容和形式 ，加重责任目标份量的工作思路，围绕工作大局，狠抓公开工作落实，着力强化公开工作组织领导，规范公开工作运作机制，构建监督评议体系，促进公开工作向经常化、制度化、规范化方向健康发展。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60" w:lineRule="exact"/>
        <w:ind w:left="0" w:leftChars="0" w:right="0" w:rightChars="0" w:firstLine="675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8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8"/>
          <w:sz w:val="32"/>
          <w:szCs w:val="32"/>
          <w:lang w:eastAsia="zh-CN"/>
        </w:rPr>
        <w:t>（一）建立机构，加强组织领导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60" w:lineRule="exact"/>
        <w:ind w:left="0" w:leftChars="0" w:right="0" w:rightChars="0" w:firstLine="672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区商务和经济合作局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  <w:t>高度重视政府信息公开工作，将其列入重要工作日程，多次召开会议，对相关工作进行研究和部署。调整领导小组成员，成立了由局长任组长，副局长任副组长，相关工作人员为成员的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区商务和经济合作局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  <w:t xml:space="preserve">政务信息公开工作领导小组，负责单位政务信息公开工作的组织领导。明确局办公室具体承担落实，牵头推进全局政务信息公开工作，相关人员予以配合，明确分工，扎实做好政府信息公开工作。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60" w:lineRule="exact"/>
        <w:ind w:left="0" w:leftChars="0" w:right="0" w:rightChars="0" w:firstLine="675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8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8"/>
          <w:sz w:val="32"/>
          <w:szCs w:val="32"/>
          <w:lang w:eastAsia="zh-CN"/>
        </w:rPr>
        <w:t>（二）主动学习，认真抓好落实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60" w:lineRule="exact"/>
        <w:ind w:right="0" w:rightChars="0" w:firstLine="672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  <w:t>及时召开政府信息公开工作会议，传达上级有关政府信息公开工作的指示和精神，学习政府信息公开知识，增强了工作人员及时、准确、主动公开政府信息的意识。增强素质，提高依照条例、严格按程序进行政府信息公开的能力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60" w:lineRule="exact"/>
        <w:ind w:left="0" w:leftChars="0" w:right="0" w:rightChars="0" w:firstLine="675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8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8"/>
          <w:sz w:val="32"/>
          <w:szCs w:val="32"/>
          <w:lang w:eastAsia="zh-CN"/>
        </w:rPr>
        <w:t>（三）提高认识，扎实开展政府信息公开工作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60" w:lineRule="exact"/>
        <w:ind w:left="0" w:leftChars="0" w:right="0" w:rightChars="0" w:firstLine="672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  <w:t>自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>20</w:t>
      </w:r>
      <w:bookmarkStart w:id="0" w:name="_GoBack"/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>2</w:t>
      </w:r>
      <w:bookmarkEnd w:id="0"/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  <w:t>年初，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区商务和经济合作局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  <w:t>认真组织全局干部职工特别是领导干部认真学习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《中华人民共和国政府信息公开条例》，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  <w:t xml:space="preserve">严格履行信息审核、发布程序，及时公开各类信息，有力地促进了全局政府信息公开工作的高效开展。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二、主动公开政府信息情况</w:t>
      </w:r>
    </w:p>
    <w:tbl>
      <w:tblPr>
        <w:tblStyle w:val="5"/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268"/>
        <w:gridCol w:w="2268"/>
        <w:gridCol w:w="2268"/>
        <w:gridCol w:w="2268"/>
      </w:tblGrid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5B9BD5" w:themeColor="accent1"/>
                <w:kern w:val="0"/>
                <w:szCs w:val="2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第二十条第（一）项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FF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FF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现行有效件数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第二十条第（五）项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第二十条第（六）项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第二十条第（八）项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三、收到和处理政府信息公开申请情况</w:t>
      </w:r>
    </w:p>
    <w:tbl>
      <w:tblPr>
        <w:tblStyle w:val="5"/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69"/>
        <w:gridCol w:w="1106"/>
        <w:gridCol w:w="2830"/>
        <w:gridCol w:w="768"/>
        <w:gridCol w:w="643"/>
        <w:gridCol w:w="714"/>
        <w:gridCol w:w="658"/>
        <w:gridCol w:w="616"/>
        <w:gridCol w:w="420"/>
        <w:gridCol w:w="448"/>
      </w:tblGrid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480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26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申请人情况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480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76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自然人</w:t>
            </w:r>
          </w:p>
        </w:tc>
        <w:tc>
          <w:tcPr>
            <w:tcW w:w="3051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法人或其他组织</w:t>
            </w:r>
          </w:p>
        </w:tc>
        <w:tc>
          <w:tcPr>
            <w:tcW w:w="448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480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76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43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商业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企业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科研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机构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社会公益组织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法律服务机构</w:t>
            </w:r>
          </w:p>
        </w:tc>
        <w:tc>
          <w:tcPr>
            <w:tcW w:w="420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448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80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一、本年新收政府信息公开申请数量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80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三、本年度办理结果</w:t>
            </w:r>
          </w:p>
        </w:tc>
        <w:tc>
          <w:tcPr>
            <w:tcW w:w="3936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（一）予以公开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3936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（二）部分公开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（区分处理的，只计这一情形，不计其他情形）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三、本年度办理结果</w:t>
            </w:r>
          </w:p>
        </w:tc>
        <w:tc>
          <w:tcPr>
            <w:tcW w:w="1106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（三）不予公开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1.属于国家秘密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2.其他法律行政法规禁止公开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3.危及“三安全一稳定”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4.保护第三方合法权益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5.属于三类内部事务信息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6.属于四类过程性信息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7.属于行政执法案卷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8.属于行政查询事项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（四）无法提供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1.本机关不掌握相关政府信息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2.没有现成信息需要另行制作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3.补正后申请内容仍不明确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（五）不予处理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1.信访举报投诉类申请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2.重复申请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3.要求提供公开出版物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4.无正当理由大量反复申请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830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5.要求行政机关确认或重新出具已获取信息</w:t>
            </w:r>
          </w:p>
        </w:tc>
        <w:tc>
          <w:tcPr>
            <w:tcW w:w="76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（六）其他处理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3.其他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39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（七）总计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480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四、结转下年度继续办理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四、政府信息公开行政复议、行政诉讼情况</w:t>
      </w:r>
    </w:p>
    <w:tbl>
      <w:tblPr>
        <w:tblStyle w:val="5"/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05"/>
        <w:gridCol w:w="605"/>
        <w:gridCol w:w="605"/>
        <w:gridCol w:w="605"/>
        <w:gridCol w:w="604"/>
        <w:gridCol w:w="604"/>
        <w:gridCol w:w="604"/>
        <w:gridCol w:w="605"/>
        <w:gridCol w:w="605"/>
        <w:gridCol w:w="605"/>
        <w:gridCol w:w="605"/>
        <w:gridCol w:w="605"/>
        <w:gridCol w:w="605"/>
        <w:gridCol w:w="605"/>
        <w:gridCol w:w="605"/>
      </w:tblGrid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30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行政复议</w:t>
            </w:r>
          </w:p>
        </w:tc>
        <w:tc>
          <w:tcPr>
            <w:tcW w:w="604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行政诉讼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0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结果维持</w:t>
            </w:r>
          </w:p>
        </w:tc>
        <w:tc>
          <w:tcPr>
            <w:tcW w:w="60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尚未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302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未经复议直接起诉</w:t>
            </w:r>
          </w:p>
        </w:tc>
        <w:tc>
          <w:tcPr>
            <w:tcW w:w="30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复议后起诉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维持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尚未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维持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尚未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五、存在的主要问题及改进情况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72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  <w:t>一是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存在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  <w:t>部分信息公开不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及时的情况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  <w:t>；二是政府信息公开工作体系还不完善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，主要是兼职人员负责，未有专职人员承担。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72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方正书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B60B7"/>
    <w:rsid w:val="020E2AD4"/>
    <w:rsid w:val="03FD5CF2"/>
    <w:rsid w:val="3A9D042D"/>
    <w:rsid w:val="5BAD6E4E"/>
    <w:rsid w:val="66A60FA0"/>
    <w:rsid w:val="6BF662AB"/>
    <w:rsid w:val="74C20698"/>
    <w:rsid w:val="754B60B7"/>
    <w:rsid w:val="FD2EB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2021-11-04T17:36:00Z</dcterms:created>
  <dc:creator>你怎么可以吃兔兔？</dc:creator>
  <cp:lastModifiedBy>龍</cp:lastModifiedBy>
  <cp:lastPrinted>2022-01-21T03:40:00Z</cp:lastPrinted>
  <dcterms:modified xsi:type="dcterms:W3CDTF">2022-01-24T07:36:25Z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D0D3AE98184D479F834F4D701F61CC11</vt:lpwstr>
  </property>
</Properties>
</file>