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both"/>
        <w:rPr>
          <w:rFonts w:ascii="方正小标宋_GBK" w:hAnsi="Times New Roman" w:eastAsia="方正小标宋_GBK"/>
          <w:snapToGrid w:val="0"/>
          <w:color w:val="000000"/>
          <w:sz w:val="36"/>
          <w:szCs w:val="44"/>
        </w:rPr>
      </w:pPr>
    </w:p>
    <w:p>
      <w:pPr>
        <w:adjustRightInd w:val="0"/>
        <w:snapToGrid w:val="0"/>
        <w:spacing w:line="460" w:lineRule="exact"/>
        <w:jc w:val="center"/>
        <w:rPr>
          <w:rFonts w:asciiTheme="majorEastAsia" w:hAnsiTheme="majorEastAsia" w:eastAsiaTheme="majorEastAsia"/>
          <w:b/>
          <w:snapToGrid w:val="0"/>
          <w:sz w:val="44"/>
          <w:szCs w:val="44"/>
        </w:rPr>
      </w:pPr>
      <w:r>
        <w:rPr>
          <w:rFonts w:hint="eastAsia" w:asciiTheme="majorEastAsia" w:hAnsiTheme="majorEastAsia" w:eastAsiaTheme="majorEastAsia"/>
          <w:b/>
          <w:snapToGrid w:val="0"/>
          <w:sz w:val="44"/>
          <w:szCs w:val="44"/>
        </w:rPr>
        <w:t>2021年东风区应急管理局</w:t>
      </w:r>
    </w:p>
    <w:p>
      <w:pPr>
        <w:adjustRightInd w:val="0"/>
        <w:snapToGrid w:val="0"/>
        <w:spacing w:line="460" w:lineRule="exact"/>
        <w:jc w:val="center"/>
        <w:rPr>
          <w:rFonts w:asciiTheme="majorEastAsia" w:hAnsiTheme="majorEastAsia" w:eastAsiaTheme="majorEastAsia"/>
          <w:b/>
          <w:snapToGrid w:val="0"/>
          <w:sz w:val="44"/>
          <w:szCs w:val="44"/>
        </w:rPr>
      </w:pPr>
      <w:r>
        <w:rPr>
          <w:rFonts w:hint="eastAsia" w:asciiTheme="majorEastAsia" w:hAnsiTheme="majorEastAsia" w:eastAsiaTheme="majorEastAsia"/>
          <w:b/>
          <w:snapToGrid w:val="0"/>
          <w:sz w:val="44"/>
          <w:szCs w:val="44"/>
        </w:rPr>
        <w:t>政府信息公开工作年度报告</w:t>
      </w:r>
    </w:p>
    <w:p>
      <w:pPr>
        <w:pStyle w:val="4"/>
        <w:shd w:val="clear" w:color="auto" w:fill="FFFFFF"/>
        <w:spacing w:before="215" w:beforeAutospacing="0" w:after="215" w:afterAutospacing="0"/>
        <w:ind w:firstLine="643" w:firstLineChars="200"/>
        <w:rPr>
          <w:rFonts w:ascii="黑体" w:hAnsi="黑体" w:eastAsia="黑体"/>
          <w:color w:val="333333"/>
          <w:sz w:val="32"/>
          <w:szCs w:val="32"/>
        </w:rPr>
      </w:pPr>
      <w:r>
        <w:rPr>
          <w:rStyle w:val="7"/>
          <w:rFonts w:hint="eastAsia" w:ascii="黑体" w:hAnsi="黑体" w:eastAsia="黑体"/>
          <w:color w:val="333333"/>
          <w:sz w:val="32"/>
          <w:szCs w:val="32"/>
        </w:rPr>
        <w:t>一、总体情况</w:t>
      </w:r>
    </w:p>
    <w:p>
      <w:pPr>
        <w:pStyle w:val="4"/>
        <w:shd w:val="clear" w:color="auto" w:fill="FFFFFF"/>
        <w:spacing w:before="215" w:beforeAutospacing="0" w:after="215" w:afterAutospacing="0"/>
        <w:ind w:firstLine="602"/>
        <w:rPr>
          <w:rFonts w:ascii="仿宋" w:hAnsi="仿宋" w:eastAsia="仿宋"/>
          <w:sz w:val="32"/>
          <w:szCs w:val="32"/>
        </w:rPr>
      </w:pPr>
      <w:r>
        <w:rPr>
          <w:rFonts w:hint="eastAsia" w:ascii="仿宋" w:hAnsi="仿宋" w:eastAsia="仿宋"/>
          <w:color w:val="333333"/>
          <w:sz w:val="32"/>
          <w:szCs w:val="32"/>
        </w:rPr>
        <w:t>2021年度，我局认真执行《中华人民共和国政府信息公开条例》和区政府信息公开多项制度，结合实际，面向社会公众，深化政务公开，优化政务服务，强化交流互动，不断完善局信息公开工作，提高安全生产的透明度和公信力，在保障公众知情权、表达权、参与权、监督权等方面取得了积极的成效。</w:t>
      </w:r>
      <w:r>
        <w:rPr>
          <w:rFonts w:hint="eastAsia" w:ascii="仿宋" w:hAnsi="仿宋" w:eastAsia="仿宋"/>
          <w:color w:val="333333"/>
          <w:sz w:val="32"/>
          <w:szCs w:val="32"/>
        </w:rPr>
        <w:br w:type="textWrapping"/>
      </w:r>
      <w:r>
        <w:rPr>
          <w:rFonts w:hint="eastAsia" w:ascii="微软雅黑" w:hAnsi="微软雅黑" w:eastAsia="微软雅黑"/>
          <w:color w:val="333333"/>
          <w:sz w:val="34"/>
          <w:szCs w:val="34"/>
        </w:rPr>
        <w:t xml:space="preserve">   </w:t>
      </w:r>
      <w:r>
        <w:rPr>
          <w:rFonts w:hint="eastAsia" w:ascii="仿宋" w:hAnsi="仿宋" w:eastAsia="仿宋"/>
          <w:color w:val="333333"/>
          <w:sz w:val="32"/>
          <w:szCs w:val="32"/>
        </w:rPr>
        <w:t xml:space="preserve"> </w:t>
      </w:r>
      <w:r>
        <w:rPr>
          <w:rFonts w:hint="eastAsia" w:ascii="微软雅黑" w:hAnsi="微软雅黑" w:eastAsia="楷体"/>
          <w:color w:val="333333"/>
          <w:sz w:val="32"/>
          <w:szCs w:val="32"/>
        </w:rPr>
        <w:t> </w:t>
      </w:r>
      <w:r>
        <w:rPr>
          <w:rFonts w:hint="eastAsia" w:ascii="楷体" w:hAnsi="楷体" w:eastAsia="楷体"/>
          <w:b/>
          <w:bCs/>
          <w:color w:val="333333"/>
          <w:sz w:val="32"/>
          <w:szCs w:val="32"/>
        </w:rPr>
        <w:t>1.强化措施，完善政务信息公开机制。</w:t>
      </w:r>
      <w:r>
        <w:rPr>
          <w:rFonts w:hint="eastAsia" w:ascii="仿宋" w:hAnsi="仿宋" w:eastAsia="仿宋"/>
          <w:sz w:val="32"/>
          <w:szCs w:val="32"/>
          <w:shd w:val="clear" w:color="auto" w:fill="FFFFFF"/>
        </w:rPr>
        <w:t>继续加强主动公开力度，践行“以公开为常态、不公开为例外”的原则，充分发挥政府信息公开平台的作用，深化重点领域信息公开，及时公开政策文件及政策解读资料等政府信息。加强服务理念，规范答复文书格式，把依申请公开工作作为服务人民群众生产生活、支持市场主体创业创新的重要方式，更好的满足申请人对政府信息的个性化需求。</w:t>
      </w:r>
    </w:p>
    <w:p>
      <w:pPr>
        <w:pStyle w:val="4"/>
        <w:shd w:val="clear" w:color="auto" w:fill="FFFFFF"/>
        <w:spacing w:before="215" w:beforeAutospacing="0" w:after="215" w:afterAutospacing="0"/>
        <w:ind w:firstLine="602"/>
        <w:rPr>
          <w:rFonts w:ascii="仿宋" w:hAnsi="仿宋" w:eastAsia="仿宋"/>
          <w:color w:val="333333"/>
          <w:sz w:val="32"/>
          <w:szCs w:val="32"/>
        </w:rPr>
      </w:pPr>
      <w:r>
        <w:rPr>
          <w:rFonts w:hint="eastAsia" w:ascii="微软雅黑" w:hAnsi="微软雅黑" w:eastAsia="楷体"/>
          <w:color w:val="333333"/>
          <w:sz w:val="32"/>
          <w:szCs w:val="32"/>
        </w:rPr>
        <w:t> </w:t>
      </w:r>
      <w:r>
        <w:rPr>
          <w:rFonts w:hint="eastAsia" w:ascii="楷体" w:hAnsi="楷体" w:eastAsia="楷体"/>
          <w:b/>
          <w:bCs/>
          <w:color w:val="333333"/>
          <w:sz w:val="32"/>
          <w:szCs w:val="32"/>
        </w:rPr>
        <w:t>2.规范制度，提高政务信息公开质量。</w:t>
      </w:r>
      <w:r>
        <w:rPr>
          <w:rFonts w:hint="eastAsia" w:ascii="仿宋" w:hAnsi="仿宋" w:eastAsia="仿宋"/>
          <w:color w:val="333333"/>
          <w:sz w:val="32"/>
          <w:szCs w:val="32"/>
        </w:rPr>
        <w:t>按照区政府网站信息公开工作要求、工作标准和网站维护技术规范，严格执行网站信息公开领导审批制度和专人管理维护制度，</w:t>
      </w:r>
      <w:r>
        <w:rPr>
          <w:rFonts w:hint="eastAsia" w:ascii="仿宋" w:hAnsi="仿宋" w:eastAsia="仿宋"/>
          <w:color w:val="333333"/>
          <w:sz w:val="32"/>
          <w:szCs w:val="32"/>
          <w:shd w:val="clear" w:color="auto" w:fill="FFFFFF"/>
        </w:rPr>
        <w:t>提高政策解读工作质量，对文件解读资料严格把关，要求解读材料与文件同时报批同时发布，采用了图片解读形式，对相关政策进行解读，利用在线访谈、媒体采访等形式宣讲重要政策。</w:t>
      </w:r>
    </w:p>
    <w:p>
      <w:pPr>
        <w:pStyle w:val="4"/>
        <w:shd w:val="clear" w:color="auto" w:fill="FFFFFF"/>
        <w:spacing w:before="215" w:beforeAutospacing="0" w:after="215" w:afterAutospacing="0"/>
        <w:ind w:firstLine="602"/>
        <w:rPr>
          <w:rFonts w:ascii="仿宋" w:hAnsi="仿宋" w:eastAsia="仿宋"/>
          <w:color w:val="333333"/>
          <w:sz w:val="32"/>
          <w:szCs w:val="32"/>
        </w:rPr>
      </w:pPr>
      <w:r>
        <w:rPr>
          <w:rFonts w:hint="eastAsia" w:ascii="微软雅黑" w:hAnsi="微软雅黑" w:eastAsia="仿宋"/>
          <w:color w:val="333333"/>
          <w:sz w:val="32"/>
          <w:szCs w:val="32"/>
        </w:rPr>
        <w:t> </w:t>
      </w:r>
      <w:r>
        <w:rPr>
          <w:rFonts w:hint="eastAsia" w:ascii="楷体" w:hAnsi="楷体" w:eastAsia="楷体"/>
          <w:b/>
          <w:bCs/>
          <w:color w:val="333333"/>
          <w:sz w:val="32"/>
          <w:szCs w:val="32"/>
        </w:rPr>
        <w:t>3.强化管理，确保信息发布准确安全。</w:t>
      </w:r>
      <w:r>
        <w:rPr>
          <w:rFonts w:hint="eastAsia" w:ascii="仿宋" w:hAnsi="仿宋" w:eastAsia="仿宋"/>
          <w:color w:val="333333"/>
          <w:sz w:val="32"/>
          <w:szCs w:val="32"/>
        </w:rPr>
        <w:t>我局严格按照规定，确定1名政治素质高、责任性强的同志专门负责东风区人民政府网站应急管理网页的维护管理工作，严肃工作纪律，严格管理员密码保密管理，严格政务信息发布审核审批程序，做到网页维护管理及时高效，政务信息发布规范合法。</w:t>
      </w:r>
    </w:p>
    <w:p>
      <w:pPr>
        <w:adjustRightInd w:val="0"/>
        <w:snapToGrid w:val="0"/>
        <w:spacing w:line="460" w:lineRule="exact"/>
        <w:ind w:firstLine="640" w:firstLineChars="200"/>
        <w:rPr>
          <w:rFonts w:ascii="黑体" w:hAnsi="黑体" w:eastAsia="黑体"/>
          <w:snapToGrid w:val="0"/>
          <w:color w:val="000000"/>
          <w:sz w:val="32"/>
          <w:szCs w:val="32"/>
        </w:rPr>
      </w:pPr>
      <w:r>
        <w:rPr>
          <w:rFonts w:hint="eastAsia" w:ascii="黑体" w:hAnsi="黑体" w:eastAsia="黑体"/>
          <w:snapToGrid w:val="0"/>
          <w:color w:val="000000"/>
          <w:sz w:val="32"/>
          <w:szCs w:val="32"/>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bookmarkStart w:id="0" w:name="_GoBack" w:colFirst="0" w:colLast="3"/>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7"/>
          <w:rFonts w:hint="eastAsia" w:ascii="黑体" w:hAnsi="黑体" w:eastAsia="黑体" w:cs="黑体"/>
          <w:b w:val="0"/>
          <w:bCs w:val="0"/>
          <w:i w:val="0"/>
          <w:caps w:val="0"/>
          <w:color w:val="auto"/>
          <w:spacing w:val="8"/>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7"/>
          <w:rFonts w:hint="eastAsia" w:ascii="黑体" w:hAnsi="黑体" w:eastAsia="黑体" w:cs="黑体"/>
          <w:b w:val="0"/>
          <w:bCs w:val="0"/>
          <w:i w:val="0"/>
          <w:caps w:val="0"/>
          <w:color w:val="auto"/>
          <w:spacing w:val="8"/>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adjustRightInd w:val="0"/>
        <w:snapToGrid w:val="0"/>
        <w:spacing w:line="460" w:lineRule="exact"/>
        <w:ind w:firstLine="640" w:firstLineChars="200"/>
        <w:rPr>
          <w:rFonts w:ascii="黑体" w:hAnsi="黑体" w:eastAsia="黑体"/>
          <w:snapToGrid w:val="0"/>
          <w:color w:val="000000"/>
          <w:sz w:val="32"/>
          <w:szCs w:val="32"/>
        </w:rPr>
      </w:pPr>
      <w:r>
        <w:rPr>
          <w:rFonts w:hint="eastAsia" w:ascii="黑体" w:hAnsi="黑体" w:eastAsia="黑体"/>
          <w:snapToGrid w:val="0"/>
          <w:color w:val="000000"/>
          <w:sz w:val="32"/>
          <w:szCs w:val="32"/>
        </w:rPr>
        <w:t>五、存在的主要问题及改进情况</w:t>
      </w:r>
    </w:p>
    <w:p>
      <w:pPr>
        <w:pStyle w:val="4"/>
        <w:shd w:val="clear" w:color="auto" w:fill="FFFFFF"/>
        <w:spacing w:before="322" w:beforeAutospacing="0" w:after="322" w:afterAutospacing="0"/>
        <w:ind w:firstLine="643" w:firstLineChars="200"/>
        <w:jc w:val="both"/>
        <w:rPr>
          <w:rStyle w:val="7"/>
          <w:rFonts w:ascii="仿宋" w:hAnsi="仿宋" w:eastAsia="仿宋"/>
          <w:sz w:val="32"/>
          <w:szCs w:val="32"/>
        </w:rPr>
      </w:pPr>
      <w:r>
        <w:rPr>
          <w:rFonts w:hint="eastAsia" w:ascii="楷体" w:hAnsi="楷体" w:eastAsia="楷体"/>
          <w:b/>
          <w:snapToGrid w:val="0"/>
          <w:color w:val="000000"/>
          <w:sz w:val="32"/>
          <w:szCs w:val="32"/>
        </w:rPr>
        <w:t>存在的问题：</w:t>
      </w:r>
      <w:r>
        <w:rPr>
          <w:rStyle w:val="7"/>
          <w:rFonts w:hint="eastAsia" w:ascii="仿宋" w:hAnsi="仿宋" w:eastAsia="仿宋"/>
          <w:sz w:val="32"/>
          <w:szCs w:val="32"/>
        </w:rPr>
        <w:t>一是</w:t>
      </w:r>
      <w:r>
        <w:rPr>
          <w:rFonts w:hint="eastAsia" w:ascii="仿宋" w:hAnsi="仿宋" w:eastAsia="仿宋"/>
          <w:color w:val="333333"/>
          <w:sz w:val="32"/>
          <w:szCs w:val="32"/>
          <w:shd w:val="clear" w:color="auto" w:fill="FFFFFF"/>
        </w:rPr>
        <w:t>思想认识还不够到位、公开内容还不够全面、监督制约机制还有待于进一步健全完善。</w:t>
      </w:r>
      <w:r>
        <w:rPr>
          <w:rStyle w:val="7"/>
          <w:rFonts w:hint="eastAsia" w:ascii="仿宋" w:hAnsi="仿宋" w:eastAsia="仿宋"/>
          <w:sz w:val="32"/>
          <w:szCs w:val="32"/>
        </w:rPr>
        <w:t>二是</w:t>
      </w:r>
      <w:r>
        <w:rPr>
          <w:rFonts w:hint="eastAsia" w:ascii="仿宋" w:hAnsi="仿宋" w:eastAsia="仿宋"/>
          <w:sz w:val="32"/>
          <w:szCs w:val="32"/>
        </w:rPr>
        <w:t>政策解读质量不高，按省、市、区有关要求，要围绕背景依据、目标任务、主要内容进行深刻政策解读。</w:t>
      </w:r>
      <w:r>
        <w:rPr>
          <w:rStyle w:val="7"/>
          <w:rFonts w:hint="eastAsia" w:ascii="仿宋" w:hAnsi="仿宋" w:eastAsia="仿宋"/>
          <w:sz w:val="32"/>
          <w:szCs w:val="32"/>
        </w:rPr>
        <w:t>三是</w:t>
      </w:r>
      <w:r>
        <w:rPr>
          <w:rFonts w:hint="eastAsia" w:ascii="仿宋" w:hAnsi="仿宋" w:eastAsia="仿宋"/>
          <w:sz w:val="32"/>
          <w:szCs w:val="32"/>
        </w:rPr>
        <w:t>公开渠道覆盖不广，没有说明登录方式或具体详细地址，公众无法从网站中获取登录方式或机构地址。</w:t>
      </w:r>
    </w:p>
    <w:p>
      <w:pPr>
        <w:pStyle w:val="4"/>
        <w:shd w:val="clear" w:color="auto" w:fill="FFFFFF"/>
        <w:spacing w:before="322" w:beforeAutospacing="0" w:after="322" w:afterAutospacing="0"/>
        <w:ind w:firstLine="643" w:firstLineChars="200"/>
        <w:jc w:val="both"/>
        <w:rPr>
          <w:rFonts w:ascii="仿宋" w:hAnsi="仿宋" w:eastAsia="仿宋"/>
          <w:sz w:val="32"/>
          <w:szCs w:val="32"/>
        </w:rPr>
      </w:pPr>
      <w:r>
        <w:rPr>
          <w:rStyle w:val="7"/>
          <w:rFonts w:hint="eastAsia" w:ascii="楷体" w:hAnsi="楷体" w:eastAsia="楷体"/>
          <w:color w:val="333333"/>
          <w:sz w:val="32"/>
          <w:szCs w:val="32"/>
        </w:rPr>
        <w:t>改进措施：</w:t>
      </w:r>
      <w:r>
        <w:rPr>
          <w:rStyle w:val="7"/>
          <w:rFonts w:hint="eastAsia" w:ascii="仿宋" w:hAnsi="仿宋" w:eastAsia="仿宋"/>
          <w:color w:val="333333"/>
          <w:sz w:val="32"/>
          <w:szCs w:val="32"/>
        </w:rPr>
        <w:t>一是</w:t>
      </w:r>
      <w:r>
        <w:rPr>
          <w:rFonts w:hint="eastAsia" w:ascii="仿宋" w:hAnsi="仿宋" w:eastAsia="仿宋"/>
          <w:color w:val="333333"/>
          <w:sz w:val="32"/>
          <w:szCs w:val="32"/>
        </w:rPr>
        <w:t>积极探索高效、便捷的公开方式，同步做好专栏、专题展示平台，充分利用市政府门户网站，政务新媒体等平台开展信息公开服务，实现信息精准推送。</w:t>
      </w:r>
      <w:r>
        <w:rPr>
          <w:rStyle w:val="7"/>
          <w:rFonts w:hint="eastAsia" w:ascii="仿宋" w:hAnsi="仿宋" w:eastAsia="仿宋"/>
          <w:color w:val="333333"/>
          <w:sz w:val="32"/>
          <w:szCs w:val="32"/>
        </w:rPr>
        <w:t>二是</w:t>
      </w:r>
      <w:r>
        <w:rPr>
          <w:rFonts w:hint="eastAsia" w:ascii="仿宋" w:hAnsi="仿宋" w:eastAsia="仿宋"/>
          <w:color w:val="333333"/>
          <w:sz w:val="32"/>
          <w:szCs w:val="32"/>
        </w:rPr>
        <w:t>持续加强重点领域信息公开力度。公开方面的薄弱环节，坚持问题导向，督促指导各部门及时、准确公开公众关心、涉及切身利益的重点领域信息公开。</w:t>
      </w:r>
      <w:r>
        <w:rPr>
          <w:rStyle w:val="7"/>
          <w:rFonts w:hint="eastAsia" w:ascii="仿宋" w:hAnsi="仿宋" w:eastAsia="仿宋"/>
          <w:color w:val="333333"/>
          <w:sz w:val="32"/>
          <w:szCs w:val="32"/>
        </w:rPr>
        <w:t>三是</w:t>
      </w:r>
      <w:r>
        <w:rPr>
          <w:rFonts w:hint="eastAsia" w:ascii="仿宋" w:hAnsi="仿宋" w:eastAsia="仿宋"/>
          <w:color w:val="333333"/>
          <w:sz w:val="32"/>
          <w:szCs w:val="32"/>
        </w:rPr>
        <w:t>进一步加强政府网站、政务新媒体日常监管，加大力度清理“空壳”、“僵尸”账号，全面查漏补缺，加强工作保障，切实提高本部门政务公开工作水平。</w:t>
      </w:r>
    </w:p>
    <w:p>
      <w:pPr>
        <w:adjustRightInd w:val="0"/>
        <w:snapToGrid w:val="0"/>
        <w:spacing w:line="460" w:lineRule="exact"/>
        <w:ind w:firstLine="800" w:firstLineChars="250"/>
        <w:rPr>
          <w:rFonts w:ascii="黑体" w:hAnsi="黑体" w:eastAsia="黑体"/>
          <w:snapToGrid w:val="0"/>
          <w:color w:val="000000"/>
          <w:sz w:val="32"/>
          <w:szCs w:val="32"/>
        </w:rPr>
      </w:pPr>
      <w:r>
        <w:rPr>
          <w:rFonts w:hint="eastAsia" w:ascii="黑体" w:hAnsi="黑体" w:eastAsia="黑体"/>
          <w:snapToGrid w:val="0"/>
          <w:color w:val="000000"/>
          <w:sz w:val="32"/>
          <w:szCs w:val="32"/>
        </w:rPr>
        <w:t>六、其他需要报告的事项</w:t>
      </w:r>
    </w:p>
    <w:p>
      <w:pPr>
        <w:adjustRightInd w:val="0"/>
        <w:snapToGrid w:val="0"/>
        <w:spacing w:line="460" w:lineRule="exact"/>
        <w:ind w:firstLine="800" w:firstLineChars="250"/>
        <w:rPr>
          <w:rFonts w:ascii="仿宋" w:hAnsi="仿宋" w:eastAsia="仿宋"/>
          <w:snapToGrid w:val="0"/>
          <w:color w:val="000000"/>
          <w:sz w:val="32"/>
          <w:szCs w:val="32"/>
        </w:rPr>
      </w:pPr>
      <w:r>
        <w:rPr>
          <w:rFonts w:hint="eastAsia" w:ascii="仿宋" w:hAnsi="仿宋" w:eastAsia="仿宋"/>
          <w:color w:val="333333"/>
          <w:sz w:val="32"/>
          <w:szCs w:val="32"/>
          <w:shd w:val="clear" w:color="auto" w:fill="FFFFFF"/>
        </w:rPr>
        <w:t>我局无其他需要报告事项。</w:t>
      </w:r>
    </w:p>
    <w:p>
      <w:pPr>
        <w:adjustRightInd w:val="0"/>
        <w:snapToGrid w:val="0"/>
        <w:spacing w:line="460" w:lineRule="exact"/>
        <w:ind w:firstLine="560" w:firstLineChars="200"/>
        <w:rPr>
          <w:rFonts w:ascii="Times New Roman" w:hAnsi="Times New Roman" w:eastAsia="方正仿宋_GBK"/>
          <w:snapToGrid w:val="0"/>
          <w:color w:val="000000"/>
          <w:sz w:val="28"/>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B60B7"/>
    <w:rsid w:val="00272F9C"/>
    <w:rsid w:val="00611807"/>
    <w:rsid w:val="00816DE7"/>
    <w:rsid w:val="00AD6ECC"/>
    <w:rsid w:val="00DF47BC"/>
    <w:rsid w:val="00EA32FB"/>
    <w:rsid w:val="00F413A2"/>
    <w:rsid w:val="01E97C42"/>
    <w:rsid w:val="6BF662AB"/>
    <w:rsid w:val="754B60B7"/>
    <w:rsid w:val="78A909D1"/>
    <w:rsid w:val="FD2EB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321</Words>
  <Characters>1832</Characters>
  <Lines>15</Lines>
  <Paragraphs>4</Paragraphs>
  <TotalTime>2</TotalTime>
  <ScaleCrop>false</ScaleCrop>
  <LinksUpToDate>false</LinksUpToDate>
  <CharactersWithSpaces>2149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2021-11-04T17:36:00Z</dcterms:created>
  <dc:creator>你怎么可以吃兔兔？</dc:creator>
  <cp:lastModifiedBy>龍</cp:lastModifiedBy>
  <dcterms:modified xsi:type="dcterms:W3CDTF">2022-01-24T07:53:52Z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08AAAF67A05B4BB48FC25673C78EEC5B</vt:lpwstr>
  </property>
</Properties>
</file>