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东风区人民政府办公室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政府办公室坚持以习近平新时代中国特色社会主义思想为指导，全面贯彻党的二十大精神，严格落实党中央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国务院、省委省政府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市委市政府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关于推进政府信息公开工作部署，持续深化政务公开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，积极回应群众关心关切，不断完善平台建设，更好发挥以公开促落实、强监管功能，取得了较好成效。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依规深化主动公开。一是围绕区委区政府中心工作发布权威信息，充分发挥政府网站、政务新媒体等官方平台渠道作用，第一时间权威发布区政府重要会议、活动和政策文件公开政务动态、重大会议等400余条，积极引导社会舆论。二是加强精准公开促落实优服务，及时更新发布2025年版政府信息主动公开目录，共涉及25个区政府部门和48个网站栏目，推动区政府各部门以更加有力有效的政府信息公开力度，并提升公共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落实《中华人民共和国政府信息公开条例》等规定，规范完善政府信息公开申请办理程序，进一步完善依申请公开全生命周期内部办理流程，并指导全区各部门加强对依申请公开工作的管理。坚持政府信息公开便民原则，主动加强与申请人沟通，全年共受理政府信息公开申请9件，办结9件，切实做到应公开尽公开，全年办理由政府信息公开申请引发的行政复议3件、行政诉讼1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公开属性认定、公开征求意见、对外发布、政策解读等工作融入政策文件制发流程，推动政策文件全生命周期管理。建好用好全区政策文件库，规范全区行政规范性文件全生命周期管理，实现现行有效政策一站归集、动态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全市政府门户网站集约化改版升级工作，并优化概括类栏目信息4条，健全政府网站和政务新媒体栏目建设管理机制，不断强化区政府门户网站信息发布、政策解读、互动交流等功能。持续强化政府网站与政务新媒体互联互通、融合发展，推进数据资源共通、共享、共用，完善智能搜索功能和无障碍浏览，强化平台安全技术防护。优化区政府政务新媒体内容建设，积极发挥政务新媒体舆论引导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2025年政务公开工作培训，召开2场政府信息公开业务培训会，培训区政府各区部门户网站及其政务新媒体承办单位工作人员50余人。结合日常调研检查发现的普遍性、典型性问题，以问题为导向加强对基层政务公开工作的业务指导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72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72" w:firstLineChars="200"/>
        <w:jc w:val="both"/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</w:rPr>
              <w:t>1</w:t>
            </w:r>
            <w:bookmarkStart w:id="0" w:name="_GoBack"/>
            <w:bookmarkEnd w:id="0"/>
          </w:p>
        </w:tc>
      </w:tr>
    </w:tbl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本年度政务公开工作虽取得一定成效，但也清醒地认识到政务公开工作还存在着一些问题和不足。例如具体表现在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依申请公开答复的精准度有待进一步提高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政策公开还有待进一步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提高。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整改措施：一是针对集中申请、重复申请、疑难申请的政府信息公开申请案件，加强与属事属地单位、司法部门进行会商研判，了解申请人的真实诉求，保证公开信息的准确性和告知答复的规范性。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提升政策公开质效，精细化梳理文件中的利企惠民政策事项，推动政策事项一站归集、精准直达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年，本机关未收取信息处理费。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4BFE"/>
    <w:multiLevelType w:val="singleLevel"/>
    <w:tmpl w:val="1D764B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B71A4"/>
    <w:rsid w:val="0BD76C78"/>
    <w:rsid w:val="17C04A52"/>
    <w:rsid w:val="24793747"/>
    <w:rsid w:val="261E2712"/>
    <w:rsid w:val="34E645EB"/>
    <w:rsid w:val="3DE62C30"/>
    <w:rsid w:val="4B663938"/>
    <w:rsid w:val="55046AED"/>
    <w:rsid w:val="5E00479E"/>
    <w:rsid w:val="61CB1E5B"/>
    <w:rsid w:val="64947810"/>
    <w:rsid w:val="66CB71A4"/>
    <w:rsid w:val="6EC76838"/>
    <w:rsid w:val="75846F2D"/>
    <w:rsid w:val="7D20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1793</Words>
  <Characters>1829</Characters>
  <Lines>0</Lines>
  <Paragraphs>0</Paragraphs>
  <TotalTime>35</TotalTime>
  <ScaleCrop>false</ScaleCrop>
  <LinksUpToDate>false</LinksUpToDate>
  <CharactersWithSpaces>1829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2026-01-05T16:16:00Z</dcterms:created>
  <dc:creator>龍</dc:creator>
  <cp:lastModifiedBy>greatwall</cp:lastModifiedBy>
  <cp:lastPrinted>2026-01-06T10:57:00Z</cp:lastPrinted>
  <dcterms:modified xsi:type="dcterms:W3CDTF">2026-01-28T14:15:45Z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BD4F3799C38043A9811778F7D4981B47_11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