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东风区人民政府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2025年政府信息公开工作年度报告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根据《中华人民共和国政府信息公开条例》（国务院令第711号）</w:t>
      </w:r>
      <w:r>
        <w:rPr>
          <w:rFonts w:hint="eastAsia" w:ascii="仿宋_GB2312" w:hAnsi="仿宋_GB2312" w:eastAsia="仿宋_GB2312" w:cs="仿宋_GB2312"/>
          <w:sz w:val="32"/>
          <w:szCs w:val="32"/>
          <w:lang w:eastAsia="zh-CN"/>
        </w:rPr>
        <w:t>（以下简称《条例》）</w:t>
      </w:r>
      <w:r>
        <w:rPr>
          <w:rFonts w:hint="eastAsia" w:ascii="仿宋_GB2312" w:hAnsi="仿宋_GB2312" w:eastAsia="仿宋_GB2312" w:cs="仿宋_GB2312"/>
          <w:sz w:val="32"/>
          <w:szCs w:val="32"/>
        </w:rPr>
        <w:t>和《国务院办公厅政府信息与政务公开办公室关于印发〈中华人民共和国政府信息公开工作年度报告格式〉的通知》（国办公开办函〔2021〕30号）要求，现将《东风区人民政府202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年政府信息公开工作年度报告》予以发布。本报告所列数据统计期限为202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总体情况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2025年，东风区人民政府以习近平新时代中国特色社会主义思想为指导，深入贯彻党的二十大和二十届二中、三中、四中全会精神，全面落实习近平总书记关于政务公开的重要指示批示精神，紧扣“十四五”规划收官之年工作部署，统筹公开与安全保密，健全制度体系，优化平台载体，提升公开质效，切实提高人民群众获得感和满意度。</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主动公开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严格对照《条例》法定主动公开范围，动态更新主动公开事项目录，将公开要求嵌入业务流程，推动公开与业务工作深度融合。聚焦群众关切和重点领域，系统公开政府工作报告、财政预决算、民生保障等关键信息，2025年东风区依托政府网站和政务新媒体全年发布政务信息4971条，确保政策透明、权力运行公开。依托市、区政府网站“政民互动”栏目解答咨询、反映问题等群众来件23条，回复办结23条，办结率100%。</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依申请公开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严格执行</w:t>
      </w:r>
      <w:r>
        <w:rPr>
          <w:rFonts w:hint="eastAsia" w:ascii="仿宋_GB2312" w:hAnsi="仿宋_GB2312" w:eastAsia="仿宋_GB2312" w:cs="仿宋_GB2312"/>
          <w:sz w:val="32"/>
          <w:szCs w:val="32"/>
          <w:lang w:val="en-US" w:eastAsia="zh-CN"/>
        </w:rPr>
        <w:t>《条例》和</w:t>
      </w:r>
      <w:r>
        <w:rPr>
          <w:rFonts w:hint="default" w:ascii="仿宋_GB2312" w:hAnsi="仿宋_GB2312" w:eastAsia="仿宋_GB2312" w:cs="仿宋_GB2312"/>
          <w:sz w:val="32"/>
          <w:szCs w:val="32"/>
          <w:lang w:val="en-US" w:eastAsia="zh-CN"/>
        </w:rPr>
        <w:t>《东风区政府信息公开工作制度》，依法依规督促指导做好</w:t>
      </w:r>
      <w:r>
        <w:rPr>
          <w:rFonts w:hint="eastAsia" w:ascii="仿宋_GB2312" w:hAnsi="仿宋_GB2312" w:eastAsia="仿宋_GB2312" w:cs="仿宋_GB2312"/>
          <w:sz w:val="32"/>
          <w:szCs w:val="32"/>
          <w:lang w:val="en-US" w:eastAsia="zh-CN"/>
        </w:rPr>
        <w:t>东风区</w:t>
      </w:r>
      <w:r>
        <w:rPr>
          <w:rFonts w:hint="default" w:ascii="仿宋_GB2312" w:hAnsi="仿宋_GB2312" w:eastAsia="仿宋_GB2312" w:cs="仿宋_GB2312"/>
          <w:sz w:val="32"/>
          <w:szCs w:val="32"/>
          <w:lang w:val="en-US" w:eastAsia="zh-CN"/>
        </w:rPr>
        <w:t>依申请公开工作。规范受理、审核、答复、送达、归档全流程管理，畅通政府网站、政务服务大厅、信函等受理渠道。建立多级协同联动机制，加强与申请人沟通衔接，实质化解诉求争议。</w:t>
      </w:r>
      <w:r>
        <w:rPr>
          <w:rFonts w:hint="eastAsia" w:ascii="仿宋_GB2312" w:hAnsi="仿宋_GB2312" w:eastAsia="仿宋_GB2312" w:cs="仿宋_GB2312"/>
          <w:sz w:val="32"/>
          <w:szCs w:val="32"/>
          <w:lang w:val="en-US" w:eastAsia="zh-CN"/>
        </w:rPr>
        <w:t>2025年</w:t>
      </w:r>
      <w:r>
        <w:rPr>
          <w:rFonts w:hint="default" w:ascii="仿宋_GB2312" w:hAnsi="仿宋_GB2312" w:eastAsia="仿宋_GB2312" w:cs="仿宋_GB2312"/>
          <w:sz w:val="32"/>
          <w:szCs w:val="32"/>
          <w:lang w:val="en-US" w:eastAsia="zh-CN"/>
        </w:rPr>
        <w:t>累计受理</w:t>
      </w:r>
      <w:r>
        <w:rPr>
          <w:rFonts w:hint="eastAsia" w:ascii="仿宋_GB2312" w:hAnsi="仿宋_GB2312" w:eastAsia="仿宋_GB2312" w:cs="仿宋_GB2312"/>
          <w:sz w:val="32"/>
          <w:szCs w:val="32"/>
          <w:lang w:val="en-US" w:eastAsia="zh-CN"/>
        </w:rPr>
        <w:t>依申请公开53</w:t>
      </w:r>
      <w:r>
        <w:rPr>
          <w:rFonts w:hint="default" w:ascii="仿宋_GB2312" w:hAnsi="仿宋_GB2312" w:eastAsia="仿宋_GB2312" w:cs="仿宋_GB2312"/>
          <w:sz w:val="32"/>
          <w:szCs w:val="32"/>
          <w:lang w:val="en-US" w:eastAsia="zh-CN"/>
        </w:rPr>
        <w:t>件，全年依申请公开答复率、规范率均达100%，切实保障群众依法获取政府信息的权利。涉及政府信息公开的行政复议3件、行政诉讼</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件</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政府信息管理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严格落实政府信息管理动态调整机制，加强内容安全排查，开展政务公开信息内容安全专项排查检查，确保网上信息内容安全。加强信息发布审核把关，严格落实保密审查制度，健全“三审三校”机制，确保公开信息准确、规范、安全。</w:t>
      </w:r>
      <w:r>
        <w:rPr>
          <w:rFonts w:hint="eastAsia" w:ascii="仿宋_GB2312" w:hAnsi="仿宋_GB2312" w:eastAsia="仿宋_GB2312" w:cs="仿宋_GB2312"/>
          <w:sz w:val="32"/>
          <w:szCs w:val="32"/>
          <w:lang w:val="en-US" w:eastAsia="zh-CN"/>
        </w:rPr>
        <w:t>定期对涉及个人隐私、错链等信息进行全面清理，提高信息的质效。</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政府信息公开平台建设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务实推进区政务公开专区为群众提供政府信息网上查询、政府信息公开申请接收、政策咨询等服务，区政务公开专区运行良好，管理机制不断完善。深化政府网站和政务新媒体建设，优化网站栏目设置，动态清理整合阶段性栏目，确保信息更新及时、栏目功能实用。推进政务新媒体“瘦身提质”，整治数字形式主义，关停关注度低、运维不力的账号，提升内容质量和传播效能。</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监督保障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健全政务公开工作推进机制将政务公开工作纳入年度目标考核范围，对全区各相关单位实行动态</w:t>
      </w:r>
      <w:r>
        <w:rPr>
          <w:rFonts w:hint="eastAsia" w:ascii="仿宋_GB2312" w:hAnsi="仿宋_GB2312" w:eastAsia="仿宋_GB2312" w:cs="仿宋_GB2312"/>
          <w:sz w:val="32"/>
          <w:szCs w:val="32"/>
          <w:lang w:val="en-US" w:eastAsia="zh-CN"/>
        </w:rPr>
        <w:t>考核</w:t>
      </w:r>
      <w:r>
        <w:rPr>
          <w:rFonts w:hint="default" w:ascii="仿宋_GB2312" w:hAnsi="仿宋_GB2312" w:eastAsia="仿宋_GB2312" w:cs="仿宋_GB2312"/>
          <w:sz w:val="32"/>
          <w:szCs w:val="32"/>
          <w:lang w:val="en-US" w:eastAsia="zh-CN"/>
        </w:rPr>
        <w:t>、定期排查、不定期通报。加强业务培训，开展政务公开工作培训会</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次，不断提高政府信息公开队伍的公开意识和业务能力构建“责任明确、协同高效、监督到位”的工作格局。</w:t>
      </w:r>
    </w:p>
    <w:p>
      <w:pPr>
        <w:pStyle w:val="4"/>
        <w:widowControl/>
        <w:shd w:val="clear" w:color="auto" w:fill="FFFFFF"/>
        <w:spacing w:beforeAutospacing="0" w:afterAutospacing="0"/>
        <w:ind w:firstLine="640" w:firstLineChars="200"/>
        <w:jc w:val="both"/>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shd w:val="clear" w:color="auto" w:fill="FFFFFF"/>
        </w:rPr>
        <w:t>二、主动公开政府信息情况</w:t>
      </w: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本年</w:t>
            </w:r>
            <w:r>
              <w:rPr>
                <w:rFonts w:hint="eastAsia" w:ascii="仿宋_GB2312" w:hAnsi="仿宋_GB2312" w:eastAsia="仿宋_GB2312" w:cs="仿宋_GB2312"/>
                <w:kern w:val="0"/>
                <w:sz w:val="24"/>
                <w:lang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现行有效件</w:t>
            </w:r>
            <w:r>
              <w:rPr>
                <w:rFonts w:hint="eastAsia" w:ascii="仿宋_GB2312" w:hAnsi="仿宋_GB2312" w:eastAsia="仿宋_GB2312" w:cs="仿宋_GB2312"/>
                <w:kern w:val="0"/>
                <w:sz w:val="24"/>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801</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44</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color w:val="000000"/>
                <w:kern w:val="0"/>
                <w:sz w:val="24"/>
                <w:lang w:val="en-US" w:eastAsia="zh-CN" w:bidi="ar"/>
              </w:rPr>
              <w:t>8</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spacing w:line="56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89.4</w:t>
            </w:r>
          </w:p>
        </w:tc>
      </w:tr>
    </w:tbl>
    <w:p>
      <w:pPr>
        <w:pStyle w:val="4"/>
        <w:widowControl/>
        <w:spacing w:beforeAutospacing="0" w:afterAutospacing="0" w:line="560" w:lineRule="exact"/>
        <w:jc w:val="both"/>
        <w:rPr>
          <w:rStyle w:val="7"/>
          <w:rFonts w:ascii="黑体" w:hAnsi="黑体" w:eastAsia="黑体" w:cs="黑体"/>
          <w:b w:val="0"/>
          <w:spacing w:val="8"/>
          <w:sz w:val="32"/>
          <w:szCs w:val="32"/>
        </w:rPr>
      </w:pPr>
    </w:p>
    <w:p>
      <w:pPr>
        <w:pStyle w:val="4"/>
        <w:widowControl/>
        <w:spacing w:beforeAutospacing="0" w:afterAutospacing="0" w:line="560" w:lineRule="exact"/>
        <w:ind w:firstLine="672" w:firstLineChars="200"/>
        <w:jc w:val="both"/>
        <w:rPr>
          <w:rFonts w:ascii="仿宋_GB2312" w:hAnsi="仿宋_GB2312" w:eastAsia="仿宋_GB2312" w:cs="仿宋_GB2312"/>
          <w:color w:val="333333"/>
        </w:rPr>
      </w:pPr>
      <w:r>
        <w:rPr>
          <w:rStyle w:val="7"/>
          <w:rFonts w:hint="eastAsia" w:ascii="黑体" w:hAnsi="黑体" w:eastAsia="黑体" w:cs="黑体"/>
          <w:b w:val="0"/>
          <w:spacing w:val="8"/>
          <w:sz w:val="32"/>
          <w:szCs w:val="32"/>
        </w:rPr>
        <w:t>三、收到和处理政府信息公开申请情况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0"/>
        <w:gridCol w:w="949"/>
        <w:gridCol w:w="3206"/>
        <w:gridCol w:w="689"/>
        <w:gridCol w:w="689"/>
        <w:gridCol w:w="689"/>
        <w:gridCol w:w="689"/>
        <w:gridCol w:w="689"/>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25"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（本列数据的勾稽关系为：第一项加第二项之和，等于第三项加第四项之和）</w:t>
            </w:r>
          </w:p>
        </w:tc>
        <w:tc>
          <w:tcPr>
            <w:tcW w:w="4823"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spacing w:line="560" w:lineRule="exact"/>
              <w:rPr>
                <w:rFonts w:ascii="仿宋_GB2312" w:hAnsi="仿宋_GB2312" w:eastAsia="仿宋_GB2312" w:cs="仿宋_GB2312"/>
                <w:sz w:val="24"/>
              </w:rPr>
            </w:pPr>
          </w:p>
        </w:tc>
        <w:tc>
          <w:tcPr>
            <w:tcW w:w="689"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自然人</w:t>
            </w:r>
          </w:p>
        </w:tc>
        <w:tc>
          <w:tcPr>
            <w:tcW w:w="3445"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spacing w:line="560" w:lineRule="exact"/>
              <w:rPr>
                <w:rFonts w:ascii="仿宋_GB2312" w:hAnsi="仿宋_GB2312" w:eastAsia="仿宋_GB2312" w:cs="仿宋_GB2312"/>
                <w:sz w:val="24"/>
              </w:rPr>
            </w:pPr>
          </w:p>
        </w:tc>
        <w:tc>
          <w:tcPr>
            <w:tcW w:w="689"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商业</w:t>
            </w:r>
          </w:p>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企业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科研</w:t>
            </w:r>
          </w:p>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社会公益组织</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法律服务机构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一、本年新收政府信息公开申请数量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kern w:val="0"/>
                <w:sz w:val="24"/>
                <w:lang w:val="en-US" w:eastAsia="zh-CN" w:bidi="ar"/>
              </w:rPr>
              <w:t>55</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kern w:val="0"/>
                <w:sz w:val="24"/>
                <w:lang w:val="en-US" w:eastAsia="zh-CN" w:bidi="ar"/>
              </w:rPr>
              <w:t>55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二、上年结转政府信息公开申请数量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0"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三、本年度办理结果</w:t>
            </w: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（一）予以公开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kern w:val="0"/>
                <w:sz w:val="24"/>
                <w:lang w:val="en-US" w:eastAsia="zh-CN" w:bidi="ar"/>
              </w:rPr>
              <w:t>16</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kern w:val="0"/>
                <w:sz w:val="24"/>
                <w:lang w:val="en-US" w:eastAsia="zh-CN" w:bidi="ar"/>
              </w:rPr>
              <w:t>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（二）部分公开（区分处理的，只计这一情形，不计其他情形）</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kern w:val="0"/>
                <w:sz w:val="24"/>
                <w:lang w:val="en-US" w:eastAsia="zh-CN" w:bidi="ar"/>
              </w:rPr>
              <w:t>12</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kern w:val="0"/>
                <w:sz w:val="24"/>
                <w:lang w:val="en-US" w:eastAsia="zh-CN" w:bidi="ar"/>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（三）不予公开</w:t>
            </w: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1.属于国家秘密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val="en-US" w:eastAsia="zh-CN" w:bidi="ar"/>
              </w:rPr>
              <w:t>2</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2.其他法律行政法规禁止公开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3.危及“三安全一稳定”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4.保护第三方合法权益</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5.属于三类内部事务信息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val="en-US" w:eastAsia="zh-CN" w:bidi="ar"/>
              </w:rPr>
              <w:t>1</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6.属于四类过程性信息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7.属于行政执法案卷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8.属于行政查询事项</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（四）无法提供</w:t>
            </w: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1.本机关不掌握相关政府信息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kern w:val="0"/>
                <w:sz w:val="24"/>
                <w:lang w:val="en-US" w:eastAsia="zh-CN" w:bidi="ar"/>
              </w:rPr>
              <w:t>19</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kern w:val="0"/>
                <w:sz w:val="24"/>
                <w:lang w:val="en-US" w:eastAsia="zh-CN" w:bidi="ar"/>
              </w:rPr>
              <w:t>19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2.没有现成信息需要另行制作</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3.补正后申请内容仍不明确</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（五）不予处理</w:t>
            </w: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1.信访举报投诉类申请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2.重复申请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val="en-US" w:eastAsia="zh-CN" w:bidi="ar"/>
              </w:rPr>
              <w:t>2</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3.要求提供公开出版物</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4.无正当理由大量反复申请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779" w:hRule="atLeast"/>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rPr>
                <w:rFonts w:ascii="仿宋_GB2312" w:hAnsi="仿宋_GB2312" w:eastAsia="仿宋_GB2312" w:cs="仿宋_GB2312"/>
                <w:sz w:val="24"/>
              </w:rPr>
            </w:pPr>
            <w:r>
              <w:rPr>
                <w:rFonts w:hint="eastAsia" w:ascii="仿宋_GB2312" w:hAnsi="仿宋_GB2312" w:eastAsia="仿宋_GB2312" w:cs="仿宋_GB2312"/>
                <w:kern w:val="0"/>
                <w:sz w:val="24"/>
                <w:lang w:bidi="ar"/>
              </w:rPr>
              <w:t>5.要求行政机关确认或重新出具已获取信息</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（六）其他处理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rPr>
                <w:rFonts w:ascii="仿宋_GB2312" w:hAnsi="仿宋_GB2312" w:eastAsia="仿宋_GB2312" w:cs="仿宋_GB2312"/>
                <w:sz w:val="24"/>
              </w:rPr>
            </w:pPr>
            <w:r>
              <w:rPr>
                <w:rFonts w:hint="eastAsia" w:ascii="仿宋_GB2312" w:hAnsi="仿宋_GB2312" w:eastAsia="仿宋_GB2312" w:cs="仿宋_GB2312"/>
                <w:kern w:val="0"/>
                <w:sz w:val="24"/>
                <w:lang w:bidi="ar"/>
              </w:rPr>
              <w:t>1.申请人无正当理由逾期不补正、行政机关不再处理其政府信息公开申请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rPr>
                <w:rFonts w:ascii="仿宋_GB2312" w:hAnsi="仿宋_GB2312" w:eastAsia="仿宋_GB2312" w:cs="仿宋_GB2312"/>
                <w:sz w:val="24"/>
              </w:rPr>
            </w:pPr>
            <w:r>
              <w:rPr>
                <w:rFonts w:hint="eastAsia" w:ascii="仿宋_GB2312" w:hAnsi="仿宋_GB2312" w:eastAsia="仿宋_GB2312" w:cs="仿宋_GB2312"/>
                <w:kern w:val="0"/>
                <w:sz w:val="24"/>
                <w:lang w:bidi="ar"/>
              </w:rPr>
              <w:t>2.申请人逾期未按收费通知要求缴纳费用、行政机关不再处理其政府信息公开申请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3.其他</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val="en-US" w:eastAsia="zh-CN" w:bidi="ar"/>
              </w:rPr>
              <w:t>1</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（七）总计</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kern w:val="0"/>
                <w:sz w:val="24"/>
                <w:lang w:val="en-US" w:eastAsia="zh-CN" w:bidi="ar"/>
              </w:rPr>
              <w:t>53</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kern w:val="0"/>
                <w:sz w:val="24"/>
                <w:lang w:val="en-US" w:eastAsia="zh-CN" w:bidi="ar"/>
              </w:rPr>
              <w:t>53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四、结转下年度继续办理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val="en-US" w:eastAsia="zh-CN" w:bidi="ar"/>
              </w:rPr>
              <w:t>2</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val="en-US" w:eastAsia="zh-CN" w:bidi="ar"/>
              </w:rPr>
              <w:t>2</w:t>
            </w:r>
          </w:p>
        </w:tc>
      </w:tr>
    </w:tbl>
    <w:p>
      <w:pPr>
        <w:pStyle w:val="4"/>
        <w:widowControl/>
        <w:spacing w:beforeAutospacing="0" w:afterAutospacing="0" w:line="560" w:lineRule="exact"/>
        <w:jc w:val="both"/>
        <w:rPr>
          <w:rStyle w:val="7"/>
          <w:rFonts w:ascii="黑体" w:hAnsi="黑体" w:eastAsia="黑体" w:cs="黑体"/>
          <w:b w:val="0"/>
          <w:spacing w:val="8"/>
          <w:sz w:val="32"/>
          <w:szCs w:val="32"/>
        </w:rPr>
      </w:pPr>
    </w:p>
    <w:p>
      <w:pPr>
        <w:pStyle w:val="4"/>
        <w:widowControl/>
        <w:spacing w:beforeAutospacing="0" w:afterAutospacing="0" w:line="560" w:lineRule="exact"/>
        <w:ind w:firstLine="672" w:firstLineChars="200"/>
        <w:jc w:val="both"/>
        <w:rPr>
          <w:rStyle w:val="7"/>
          <w:rFonts w:hint="eastAsia" w:ascii="黑体" w:hAnsi="黑体" w:eastAsia="黑体" w:cs="黑体"/>
          <w:b w:val="0"/>
          <w:spacing w:val="8"/>
          <w:sz w:val="32"/>
          <w:szCs w:val="32"/>
        </w:rPr>
      </w:pPr>
      <w:r>
        <w:rPr>
          <w:rStyle w:val="7"/>
          <w:rFonts w:hint="eastAsia" w:ascii="黑体" w:hAnsi="黑体" w:eastAsia="黑体" w:cs="黑体"/>
          <w:b w:val="0"/>
          <w:spacing w:val="8"/>
          <w:sz w:val="32"/>
          <w:szCs w:val="32"/>
        </w:rPr>
        <w:t>四、政府信息公开行政复议、行政诉讼情况</w:t>
      </w:r>
    </w:p>
    <w:p>
      <w:pPr>
        <w:widowControl/>
        <w:shd w:val="clear" w:color="auto" w:fill="FFFFFF"/>
        <w:spacing w:line="560" w:lineRule="exact"/>
        <w:jc w:val="center"/>
        <w:rPr>
          <w:rFonts w:ascii="仿宋_GB2312" w:hAnsi="仿宋_GB2312" w:eastAsia="仿宋_GB2312" w:cs="仿宋_GB2312"/>
          <w:color w:val="333333"/>
          <w:sz w:val="24"/>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结果</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尚未</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仿宋_GB2312" w:hAnsi="仿宋_GB2312" w:eastAsia="仿宋_GB2312" w:cs="仿宋_GB2312"/>
                <w:sz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仿宋_GB2312" w:hAnsi="仿宋_GB2312" w:eastAsia="仿宋_GB2312" w:cs="仿宋_GB2312"/>
                <w:sz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仿宋_GB2312" w:hAnsi="仿宋_GB2312" w:eastAsia="仿宋_GB2312" w:cs="仿宋_GB2312"/>
                <w:sz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仿宋_GB2312" w:hAnsi="仿宋_GB2312" w:eastAsia="仿宋_GB2312" w:cs="仿宋_GB2312"/>
                <w:sz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仿宋_GB2312" w:hAnsi="仿宋_GB2312" w:eastAsia="仿宋_GB2312" w:cs="仿宋_GB2312"/>
                <w:sz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结果</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结果</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尚未</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结果</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结果</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其他</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尚未</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hint="default" w:ascii="仿宋" w:hAnsi="仿宋" w:eastAsia="仿宋" w:cs="仿宋"/>
                <w:sz w:val="24"/>
                <w:lang w:eastAsia="zh-CN"/>
              </w:rPr>
            </w:pPr>
            <w:r>
              <w:rPr>
                <w:rFonts w:hint="default" w:ascii="仿宋" w:hAnsi="仿宋" w:eastAsia="仿宋" w:cs="仿宋"/>
                <w:sz w:val="24"/>
                <w:lang w:eastAsia="zh-CN"/>
              </w:rPr>
              <w:t>1</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hint="default" w:ascii="仿宋" w:hAnsi="仿宋" w:eastAsia="仿宋" w:cs="仿宋"/>
                <w:sz w:val="24"/>
              </w:rPr>
            </w:pPr>
            <w:r>
              <w:rPr>
                <w:rFonts w:hint="default" w:ascii="仿宋" w:hAnsi="仿宋" w:eastAsia="仿宋" w:cs="仿宋"/>
                <w:sz w:val="24"/>
              </w:rPr>
              <w:t>1</w:t>
            </w:r>
            <w:bookmarkStart w:id="0" w:name="_GoBack"/>
            <w:bookmarkEnd w:id="0"/>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1</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3</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1</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1</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r>
    </w:tbl>
    <w:p>
      <w:pPr>
        <w:pStyle w:val="4"/>
        <w:widowControl/>
        <w:numPr>
          <w:ilvl w:val="0"/>
          <w:numId w:val="3"/>
        </w:numPr>
        <w:shd w:val="clear" w:color="auto" w:fill="FFFFFF"/>
        <w:spacing w:beforeAutospacing="0" w:afterAutospacing="0"/>
        <w:ind w:right="0" w:rightChars="0" w:firstLine="640" w:firstLineChars="200"/>
        <w:jc w:val="both"/>
        <w:rPr>
          <w:rFonts w:hint="eastAsia" w:ascii="黑体" w:hAnsi="黑体" w:eastAsia="黑体" w:cs="黑体"/>
          <w:b w:val="0"/>
          <w:bCs w:val="0"/>
          <w:color w:val="333333"/>
          <w:sz w:val="32"/>
          <w:szCs w:val="32"/>
          <w:shd w:val="clear" w:color="auto" w:fill="FFFFFF"/>
        </w:rPr>
      </w:pPr>
      <w:r>
        <w:rPr>
          <w:rFonts w:hint="eastAsia" w:ascii="黑体" w:hAnsi="黑体" w:eastAsia="黑体" w:cs="黑体"/>
          <w:b w:val="0"/>
          <w:bCs w:val="0"/>
          <w:color w:val="333333"/>
          <w:sz w:val="32"/>
          <w:szCs w:val="32"/>
          <w:shd w:val="clear" w:color="auto" w:fill="FFFFFF"/>
        </w:rPr>
        <w:t>存在的主要问题及改进情况</w:t>
      </w:r>
    </w:p>
    <w:p>
      <w:pPr>
        <w:pStyle w:val="4"/>
        <w:widowControl/>
        <w:numPr>
          <w:ilvl w:val="0"/>
          <w:numId w:val="0"/>
        </w:numPr>
        <w:shd w:val="clear" w:color="auto" w:fill="FFFFFF"/>
        <w:spacing w:beforeAutospacing="0" w:afterAutospacing="0"/>
        <w:ind w:right="0" w:rightChars="0" w:firstLine="640" w:firstLineChars="200"/>
        <w:jc w:val="both"/>
        <w:rPr>
          <w:rFonts w:hint="eastAsia" w:ascii="黑体" w:hAnsi="黑体" w:eastAsia="黑体" w:cs="黑体"/>
          <w:b w:val="0"/>
          <w:bCs w:val="0"/>
          <w:color w:val="333333"/>
          <w:sz w:val="32"/>
          <w:szCs w:val="32"/>
          <w:shd w:val="clear" w:color="auto" w:fill="FFFFFF"/>
        </w:rPr>
      </w:pPr>
      <w:r>
        <w:rPr>
          <w:rFonts w:hint="eastAsia" w:ascii="仿宋_GB2312" w:hAnsi="仿宋_GB2312" w:eastAsia="仿宋_GB2312" w:cs="仿宋_GB2312"/>
          <w:b w:val="0"/>
          <w:bCs w:val="0"/>
          <w:color w:val="333333"/>
          <w:sz w:val="32"/>
          <w:szCs w:val="32"/>
          <w:shd w:val="clear" w:color="auto" w:fill="FFFFFF"/>
        </w:rPr>
        <w:t>202</w:t>
      </w:r>
      <w:r>
        <w:rPr>
          <w:rFonts w:hint="eastAsia" w:ascii="仿宋_GB2312" w:hAnsi="仿宋_GB2312" w:eastAsia="仿宋_GB2312" w:cs="仿宋_GB2312"/>
          <w:b w:val="0"/>
          <w:bCs w:val="0"/>
          <w:color w:val="333333"/>
          <w:sz w:val="32"/>
          <w:szCs w:val="32"/>
          <w:shd w:val="clear" w:color="auto" w:fill="FFFFFF"/>
          <w:lang w:val="en-US" w:eastAsia="zh-CN"/>
        </w:rPr>
        <w:t>5</w:t>
      </w:r>
      <w:r>
        <w:rPr>
          <w:rFonts w:hint="eastAsia" w:ascii="仿宋_GB2312" w:hAnsi="仿宋_GB2312" w:eastAsia="仿宋_GB2312" w:cs="仿宋_GB2312"/>
          <w:b w:val="0"/>
          <w:bCs w:val="0"/>
          <w:color w:val="333333"/>
          <w:sz w:val="32"/>
          <w:szCs w:val="32"/>
          <w:shd w:val="clear" w:color="auto" w:fill="FFFFFF"/>
        </w:rPr>
        <w:t>年，</w:t>
      </w:r>
      <w:r>
        <w:rPr>
          <w:rFonts w:hint="eastAsia" w:ascii="仿宋_GB2312" w:hAnsi="仿宋_GB2312" w:eastAsia="仿宋_GB2312" w:cs="仿宋_GB2312"/>
          <w:b w:val="0"/>
          <w:bCs w:val="0"/>
          <w:color w:val="333333"/>
          <w:sz w:val="32"/>
          <w:szCs w:val="32"/>
          <w:shd w:val="clear" w:color="auto" w:fill="FFFFFF"/>
          <w:lang w:eastAsia="zh-CN"/>
        </w:rPr>
        <w:t>东风区</w:t>
      </w:r>
      <w:r>
        <w:rPr>
          <w:rFonts w:hint="eastAsia" w:ascii="仿宋_GB2312" w:hAnsi="仿宋_GB2312" w:eastAsia="仿宋_GB2312" w:cs="仿宋_GB2312"/>
          <w:b w:val="0"/>
          <w:bCs w:val="0"/>
          <w:color w:val="333333"/>
          <w:sz w:val="32"/>
          <w:szCs w:val="32"/>
          <w:shd w:val="clear" w:color="auto" w:fill="FFFFFF"/>
        </w:rPr>
        <w:t>政府信息公开工作取得了一定成绩，但在创造性开展政务公开工作、提升</w:t>
      </w:r>
      <w:r>
        <w:rPr>
          <w:rFonts w:hint="eastAsia" w:ascii="仿宋_GB2312" w:hAnsi="仿宋_GB2312" w:eastAsia="仿宋_GB2312" w:cs="仿宋_GB2312"/>
          <w:b w:val="0"/>
          <w:bCs w:val="0"/>
          <w:color w:val="333333"/>
          <w:sz w:val="32"/>
          <w:szCs w:val="32"/>
          <w:shd w:val="clear" w:color="auto" w:fill="FFFFFF"/>
          <w:lang w:eastAsia="zh-CN"/>
        </w:rPr>
        <w:t>各单位</w:t>
      </w:r>
      <w:r>
        <w:rPr>
          <w:rFonts w:hint="eastAsia" w:ascii="仿宋_GB2312" w:hAnsi="仿宋_GB2312" w:eastAsia="仿宋_GB2312" w:cs="仿宋_GB2312"/>
          <w:b w:val="0"/>
          <w:bCs w:val="0"/>
          <w:color w:val="333333"/>
          <w:sz w:val="32"/>
          <w:szCs w:val="32"/>
          <w:shd w:val="clear" w:color="auto" w:fill="FFFFFF"/>
        </w:rPr>
        <w:t>政务公开工作人员业务素质等方面还有不足。</w:t>
      </w:r>
      <w:r>
        <w:rPr>
          <w:rFonts w:hint="eastAsia" w:ascii="仿宋_GB2312" w:hAnsi="仿宋_GB2312" w:eastAsia="仿宋_GB2312" w:cs="仿宋_GB2312"/>
          <w:b w:val="0"/>
          <w:bCs w:val="0"/>
          <w:color w:val="333333"/>
          <w:sz w:val="32"/>
          <w:szCs w:val="32"/>
          <w:shd w:val="clear" w:color="auto" w:fill="FFFFFF"/>
          <w:lang w:eastAsia="zh-CN"/>
        </w:rPr>
        <w:t>下一步将从以下两方面持续改进一是进一步打破思维定式和工作惯性，增强工作的主动性、创造性，不断创新政务公开形式，努力形成一批可推广、可借鉴、可复制的特色经验。二是进一步优化教育培训工作，采取定期培训、专题培训和“线上</w:t>
      </w:r>
      <w:r>
        <w:rPr>
          <w:rFonts w:hint="eastAsia" w:ascii="仿宋_GB2312" w:hAnsi="仿宋_GB2312" w:eastAsia="仿宋_GB2312" w:cs="仿宋_GB2312"/>
          <w:b w:val="0"/>
          <w:bCs w:val="0"/>
          <w:color w:val="333333"/>
          <w:sz w:val="32"/>
          <w:szCs w:val="32"/>
          <w:shd w:val="clear" w:color="auto" w:fill="FFFFFF"/>
          <w:lang w:val="en-US" w:eastAsia="zh-CN"/>
        </w:rPr>
        <w:t>+线下</w:t>
      </w:r>
      <w:r>
        <w:rPr>
          <w:rFonts w:hint="eastAsia" w:ascii="仿宋_GB2312" w:hAnsi="仿宋_GB2312" w:eastAsia="仿宋_GB2312" w:cs="仿宋_GB2312"/>
          <w:b w:val="0"/>
          <w:bCs w:val="0"/>
          <w:color w:val="333333"/>
          <w:sz w:val="32"/>
          <w:szCs w:val="32"/>
          <w:shd w:val="clear" w:color="auto" w:fill="FFFFFF"/>
          <w:lang w:eastAsia="zh-CN"/>
        </w:rPr>
        <w:t>”交流等方式强化培训指导，不断提高基层工作人员公开意识和公开能力，促进政务公开的及时性、规范性。</w:t>
      </w:r>
    </w:p>
    <w:p>
      <w:pPr>
        <w:pStyle w:val="4"/>
        <w:widowControl/>
        <w:numPr>
          <w:ilvl w:val="0"/>
          <w:numId w:val="0"/>
        </w:numPr>
        <w:shd w:val="clear" w:color="auto" w:fill="FFFFFF"/>
        <w:spacing w:beforeAutospacing="0" w:afterAutospacing="0"/>
        <w:ind w:right="0" w:rightChars="0"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六、其他需要报告的事项</w:t>
      </w:r>
    </w:p>
    <w:p>
      <w:pPr>
        <w:pStyle w:val="4"/>
        <w:widowControl/>
        <w:numPr>
          <w:ilvl w:val="0"/>
          <w:numId w:val="0"/>
        </w:numPr>
        <w:shd w:val="clear" w:color="auto" w:fill="FFFFFF"/>
        <w:spacing w:beforeAutospacing="0" w:afterAutospacing="0"/>
        <w:ind w:right="0" w:rightChars="0" w:firstLine="640" w:firstLineChars="200"/>
        <w:jc w:val="both"/>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按照《国务院办公厅关于印发〈政府信息公开信息处理费管理办法〉的通知》（国办函〔2020〕109号）规定的按件、按量收费标准，本年度无收取信息处理费情况。</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4A6088"/>
    <w:multiLevelType w:val="singleLevel"/>
    <w:tmpl w:val="934A6088"/>
    <w:lvl w:ilvl="0" w:tentative="0">
      <w:start w:val="1"/>
      <w:numFmt w:val="chineseCounting"/>
      <w:suff w:val="nothing"/>
      <w:lvlText w:val="%1、"/>
      <w:lvlJc w:val="left"/>
      <w:rPr>
        <w:rFonts w:hint="eastAsia"/>
      </w:rPr>
    </w:lvl>
  </w:abstractNum>
  <w:abstractNum w:abstractNumId="1">
    <w:nsid w:val="0F76546E"/>
    <w:multiLevelType w:val="singleLevel"/>
    <w:tmpl w:val="0F76546E"/>
    <w:lvl w:ilvl="0" w:tentative="0">
      <w:start w:val="5"/>
      <w:numFmt w:val="chineseCounting"/>
      <w:suff w:val="nothing"/>
      <w:lvlText w:val="%1、"/>
      <w:lvlJc w:val="left"/>
      <w:rPr>
        <w:rFonts w:hint="eastAsia"/>
      </w:rPr>
    </w:lvl>
  </w:abstractNum>
  <w:abstractNum w:abstractNumId="2">
    <w:nsid w:val="1D764BFE"/>
    <w:multiLevelType w:val="singleLevel"/>
    <w:tmpl w:val="1D764BFE"/>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B71A4"/>
    <w:rsid w:val="0BD76C78"/>
    <w:rsid w:val="0FBE7AE4"/>
    <w:rsid w:val="1E263239"/>
    <w:rsid w:val="24793747"/>
    <w:rsid w:val="261E2712"/>
    <w:rsid w:val="282E6701"/>
    <w:rsid w:val="28D64DCE"/>
    <w:rsid w:val="34E645EB"/>
    <w:rsid w:val="3DE62C30"/>
    <w:rsid w:val="496569C4"/>
    <w:rsid w:val="4B663938"/>
    <w:rsid w:val="513028B4"/>
    <w:rsid w:val="518E2DCE"/>
    <w:rsid w:val="55046AED"/>
    <w:rsid w:val="5E00479E"/>
    <w:rsid w:val="5E824AD5"/>
    <w:rsid w:val="61CB1E5B"/>
    <w:rsid w:val="64947810"/>
    <w:rsid w:val="66CB71A4"/>
    <w:rsid w:val="69771F51"/>
    <w:rsid w:val="6DA5433C"/>
    <w:rsid w:val="75846F2D"/>
    <w:rsid w:val="7AB92EC7"/>
    <w:rsid w:val="7D20704E"/>
    <w:rsid w:val="FFBF5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1381</Words>
  <Characters>1429</Characters>
  <Lines>0</Lines>
  <Paragraphs>0</Paragraphs>
  <TotalTime>19</TotalTime>
  <ScaleCrop>false</ScaleCrop>
  <LinksUpToDate>false</LinksUpToDate>
  <CharactersWithSpaces>1433</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2026-01-05T16:16:00Z</dcterms:created>
  <dc:creator>龍</dc:creator>
  <cp:lastModifiedBy>greatwall</cp:lastModifiedBy>
  <cp:lastPrinted>2026-02-09T10:58:00Z</cp:lastPrinted>
  <dcterms:modified xsi:type="dcterms:W3CDTF">2026-02-12T14:45:41Z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942A14FA3619452195895F6BA451BB51_13</vt:lpwstr>
  </property>
  <property fmtid="{D5CDD505-2E9C-101B-9397-08002B2CF9AE}" pid="4" name="KSOTemplateDocerSaveRecord">
    <vt:lpwstr>eyJoZGlkIjoiMmVhZWM0YzkzOWNhNTllOTBjZWU3YzQyNmViZjgxYmIiLCJ1c2VySWQiOiI0MzE0ODc2MjgifQ==</vt:lpwstr>
  </property>
</Properties>
</file>